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9E5E2" w14:textId="56DF45EB" w:rsidR="004B416E" w:rsidRDefault="00873644" w:rsidP="004B416E">
      <w:pPr>
        <w:pStyle w:val="Nadpis5"/>
        <w:rPr>
          <w:rFonts w:asciiTheme="minorHAnsi" w:hAnsiTheme="minorHAnsi" w:cstheme="minorHAnsi"/>
        </w:rPr>
      </w:pPr>
      <w:r w:rsidRPr="00431936">
        <w:rPr>
          <w:rFonts w:asciiTheme="minorHAnsi" w:hAnsiTheme="minorHAnsi" w:cstheme="minorHAnsi"/>
          <w:u w:val="none"/>
        </w:rPr>
        <w:t xml:space="preserve">Téma: </w:t>
      </w:r>
      <w:r w:rsidR="004B416E" w:rsidRPr="00431936">
        <w:rPr>
          <w:rFonts w:asciiTheme="minorHAnsi" w:hAnsiTheme="minorHAnsi" w:cstheme="minorHAnsi"/>
        </w:rPr>
        <w:t>Účtovníctvo 202</w:t>
      </w:r>
      <w:r w:rsidR="00774BBC">
        <w:rPr>
          <w:rFonts w:asciiTheme="minorHAnsi" w:hAnsiTheme="minorHAnsi" w:cstheme="minorHAnsi"/>
        </w:rPr>
        <w:t>5</w:t>
      </w:r>
      <w:r w:rsidR="004B416E" w:rsidRPr="00431936">
        <w:rPr>
          <w:rFonts w:asciiTheme="minorHAnsi" w:hAnsiTheme="minorHAnsi" w:cstheme="minorHAnsi"/>
        </w:rPr>
        <w:t xml:space="preserve"> – účtovná závierka</w:t>
      </w:r>
    </w:p>
    <w:p w14:paraId="43B4EC63" w14:textId="77777777" w:rsidR="004B416E" w:rsidRPr="004B416E" w:rsidRDefault="004B416E" w:rsidP="004B416E">
      <w:pPr>
        <w:pStyle w:val="Odsekzoznamu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Zostavuje sa za predpokladu pokračujúcej činnosti resp. predpokladá jej ukončenie.</w:t>
      </w:r>
    </w:p>
    <w:p w14:paraId="0EDD7147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Kontrola nízkej kapitalizácie (úroky do 25% EBIDTA)</w:t>
      </w:r>
    </w:p>
    <w:p w14:paraId="604F6611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Spoločnosť v kríze § 26 odsek 6 Zákona o účtovníctve</w:t>
      </w:r>
    </w:p>
    <w:p w14:paraId="610B79A2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Theme="minorHAnsi" w:hAnsiTheme="minorHAnsi" w:cstheme="minorHAnsi"/>
          <w:sz w:val="22"/>
          <w:szCs w:val="22"/>
        </w:rPr>
        <w:t>Na to, aby spoločnosť bola považovaná za platobne neschopnú, musí spĺňať nasledovné podmienky:</w:t>
      </w:r>
    </w:p>
    <w:p w14:paraId="1046256E" w14:textId="77777777" w:rsidR="004B416E" w:rsidRPr="004B416E" w:rsidRDefault="004B416E" w:rsidP="004B416E">
      <w:pPr>
        <w:pStyle w:val="Odsekzoznamu"/>
        <w:numPr>
          <w:ilvl w:val="3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n</w:t>
      </w:r>
      <w:r w:rsidRPr="004B416E">
        <w:rPr>
          <w:rFonts w:asciiTheme="minorHAnsi" w:eastAsiaTheme="minorHAnsi" w:hAnsiTheme="minorHAnsi" w:cstheme="minorHAnsi"/>
          <w:sz w:val="22"/>
          <w:szCs w:val="22"/>
        </w:rPr>
        <w:t>ie je schopná plniť 30 dní po lehote splatnosti</w:t>
      </w:r>
    </w:p>
    <w:p w14:paraId="6E169DD0" w14:textId="77777777" w:rsidR="004B416E" w:rsidRPr="004B416E" w:rsidRDefault="004B416E" w:rsidP="004B416E">
      <w:pPr>
        <w:pStyle w:val="Odsekzoznamu"/>
        <w:numPr>
          <w:ilvl w:val="3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Theme="minorHAnsi" w:hAnsiTheme="minorHAnsi" w:cstheme="minorHAnsi"/>
          <w:sz w:val="22"/>
          <w:szCs w:val="22"/>
        </w:rPr>
        <w:t>dva peňažné záväzk</w:t>
      </w:r>
      <w:r w:rsidRPr="004B416E">
        <w:rPr>
          <w:rFonts w:asciiTheme="minorHAnsi" w:hAnsiTheme="minorHAnsi" w:cstheme="minorHAnsi"/>
          <w:sz w:val="22"/>
          <w:szCs w:val="22"/>
        </w:rPr>
        <w:t>y</w:t>
      </w:r>
    </w:p>
    <w:p w14:paraId="74B11EE2" w14:textId="77777777" w:rsidR="004B416E" w:rsidRPr="004B416E" w:rsidRDefault="004B416E" w:rsidP="004B416E">
      <w:pPr>
        <w:pStyle w:val="Odsekzoznamu"/>
        <w:numPr>
          <w:ilvl w:val="3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Theme="minorHAnsi" w:hAnsiTheme="minorHAnsi" w:cstheme="minorHAnsi"/>
          <w:sz w:val="22"/>
          <w:szCs w:val="22"/>
        </w:rPr>
        <w:t>viac ako jednému veriteľovi</w:t>
      </w:r>
    </w:p>
    <w:p w14:paraId="49FABAB6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Theme="minorHAnsi" w:hAnsiTheme="minorHAnsi" w:cstheme="minorHAnsi"/>
          <w:sz w:val="22"/>
          <w:szCs w:val="22"/>
        </w:rPr>
        <w:t>Spoločnosť je v predlžení ak:</w:t>
      </w:r>
    </w:p>
    <w:p w14:paraId="32D9C6A3" w14:textId="77777777" w:rsidR="004B416E" w:rsidRPr="004B416E" w:rsidRDefault="004B416E" w:rsidP="004B416E">
      <w:pPr>
        <w:pStyle w:val="Odsekzoznamu"/>
        <w:numPr>
          <w:ilvl w:val="3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Theme="minorHAnsi" w:hAnsiTheme="minorHAnsi" w:cstheme="minorHAnsi"/>
          <w:sz w:val="22"/>
          <w:szCs w:val="22"/>
        </w:rPr>
        <w:t>má viac ako jedného veriteľa, a</w:t>
      </w:r>
    </w:p>
    <w:p w14:paraId="67A631FB" w14:textId="77777777" w:rsidR="004B416E" w:rsidRPr="004B416E" w:rsidRDefault="004B416E" w:rsidP="004B416E">
      <w:pPr>
        <w:pStyle w:val="Odsekzoznamu"/>
        <w:numPr>
          <w:ilvl w:val="3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Theme="minorHAnsi" w:hAnsiTheme="minorHAnsi" w:cstheme="minorHAnsi"/>
          <w:sz w:val="22"/>
          <w:szCs w:val="22"/>
        </w:rPr>
        <w:t>hodnota jej záväzkov presahuje hodnotu jej majetku.</w:t>
      </w:r>
    </w:p>
    <w:p w14:paraId="6DD8510F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Theme="minorHAnsi" w:hAnsiTheme="minorHAnsi" w:cstheme="minorHAnsi"/>
          <w:sz w:val="22"/>
          <w:szCs w:val="22"/>
        </w:rPr>
        <w:t>Spoločnos</w:t>
      </w:r>
      <w:r w:rsidRPr="004B416E">
        <w:rPr>
          <w:rFonts w:asciiTheme="minorHAnsi" w:hAnsiTheme="minorHAnsi" w:cstheme="minorHAnsi"/>
          <w:sz w:val="22"/>
          <w:szCs w:val="22"/>
        </w:rPr>
        <w:t xml:space="preserve">ť je v úpadku alebo jej </w:t>
      </w:r>
      <w:r w:rsidRPr="004B416E">
        <w:rPr>
          <w:rFonts w:asciiTheme="minorHAnsi" w:eastAsiaTheme="minorHAnsi" w:hAnsiTheme="minorHAnsi" w:cstheme="minorHAnsi"/>
          <w:sz w:val="22"/>
          <w:szCs w:val="22"/>
        </w:rPr>
        <w:t>hrozí úpadok </w:t>
      </w:r>
      <w:r w:rsidRPr="004B416E">
        <w:rPr>
          <w:rFonts w:asciiTheme="minorHAnsi" w:hAnsiTheme="minorHAnsi" w:cstheme="minorHAnsi"/>
          <w:sz w:val="22"/>
          <w:szCs w:val="22"/>
        </w:rPr>
        <w:t xml:space="preserve">§ 67a - §67i </w:t>
      </w:r>
      <w:proofErr w:type="spellStart"/>
      <w:r w:rsidRPr="004B416E">
        <w:rPr>
          <w:rFonts w:asciiTheme="minorHAnsi" w:hAnsiTheme="minorHAnsi" w:cstheme="minorHAnsi"/>
          <w:sz w:val="22"/>
          <w:szCs w:val="22"/>
        </w:rPr>
        <w:t>Ob.z</w:t>
      </w:r>
      <w:proofErr w:type="spellEnd"/>
      <w:r w:rsidRPr="004B416E">
        <w:rPr>
          <w:rFonts w:asciiTheme="minorHAnsi" w:hAnsiTheme="minorHAnsi" w:cstheme="minorHAnsi"/>
          <w:sz w:val="22"/>
          <w:szCs w:val="22"/>
        </w:rPr>
        <w:t xml:space="preserve">. </w:t>
      </w:r>
      <w:r w:rsidRPr="004B416E">
        <w:rPr>
          <w:rFonts w:asciiTheme="minorHAnsi" w:eastAsiaTheme="minorHAnsi" w:hAnsiTheme="minorHAnsi" w:cstheme="minorHAnsi"/>
          <w:sz w:val="22"/>
          <w:szCs w:val="22"/>
        </w:rPr>
        <w:t>v prípade, ak pomer vlastného imania a záväzkov je menej ako 8 ku 100</w:t>
      </w:r>
      <w:r w:rsidRPr="004B416E">
        <w:rPr>
          <w:rFonts w:asciiTheme="minorHAnsi" w:hAnsiTheme="minorHAnsi" w:cstheme="minorHAnsi"/>
          <w:sz w:val="22"/>
          <w:szCs w:val="22"/>
        </w:rPr>
        <w:t xml:space="preserve"> (porovnanie na úrovni Súvahy, Pasíva B./A</w:t>
      </w:r>
      <w:r w:rsidRPr="004B416E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1EAA955A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Doplnenie vlastného imania </w:t>
      </w:r>
      <w:r w:rsidRPr="004B416E">
        <w:rPr>
          <w:rFonts w:asciiTheme="minorHAnsi" w:hAnsiTheme="minorHAnsi" w:cstheme="minorHAnsi"/>
          <w:sz w:val="22"/>
          <w:szCs w:val="22"/>
          <w:u w:val="single"/>
        </w:rPr>
        <w:t>vkladom</w:t>
      </w:r>
      <w:r w:rsidRPr="004B416E">
        <w:rPr>
          <w:rFonts w:asciiTheme="minorHAnsi" w:hAnsiTheme="minorHAnsi" w:cstheme="minorHAnsi"/>
          <w:sz w:val="22"/>
          <w:szCs w:val="22"/>
        </w:rPr>
        <w:t xml:space="preserve"> do Kapitálových fondov – peňažné aj nepeňažné - § 59 </w:t>
      </w:r>
      <w:proofErr w:type="spellStart"/>
      <w:r w:rsidRPr="004B416E">
        <w:rPr>
          <w:rFonts w:asciiTheme="minorHAnsi" w:hAnsiTheme="minorHAnsi" w:cstheme="minorHAnsi"/>
          <w:sz w:val="22"/>
          <w:szCs w:val="22"/>
        </w:rPr>
        <w:t>Ob.z</w:t>
      </w:r>
      <w:proofErr w:type="spellEnd"/>
      <w:r w:rsidRPr="004B416E">
        <w:rPr>
          <w:rFonts w:asciiTheme="minorHAnsi" w:hAnsiTheme="minorHAnsi" w:cstheme="minorHAnsi"/>
          <w:sz w:val="22"/>
          <w:szCs w:val="22"/>
        </w:rPr>
        <w:t>. – účtovný prípad je až pri splatení, do splatenia sa uvádza len v poznámkach.</w:t>
      </w:r>
    </w:p>
    <w:p w14:paraId="11305C90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Rozdelenie vlastného imania z Kapitálových fondov – Oznamovacia povinnosť 60 dní vopred v Obchodnom vestníku.</w:t>
      </w:r>
    </w:p>
    <w:p w14:paraId="236478A2" w14:textId="77777777" w:rsidR="00BA58DD" w:rsidRDefault="00BA58DD" w:rsidP="00BA58DD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3543F39" w14:textId="77777777" w:rsidR="004B416E" w:rsidRPr="004B416E" w:rsidRDefault="004B416E" w:rsidP="004B416E">
      <w:pPr>
        <w:pStyle w:val="Odsekzoznamu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Ocenenie transakcií s osobami s vplyvom nad 5% - transferové ceny a vplyv na vznik krízy z dôvodu neprimeraných podmienok. </w:t>
      </w:r>
    </w:p>
    <w:p w14:paraId="2FADA28C" w14:textId="77777777" w:rsidR="004B416E" w:rsidRDefault="004B416E" w:rsidP="004B416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EC54990" w14:textId="0C2983B0" w:rsidR="004B416E" w:rsidRPr="004B416E" w:rsidRDefault="004B416E" w:rsidP="004B416E">
      <w:pPr>
        <w:pStyle w:val="Odsekzoznamu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Inventarizácia </w:t>
      </w:r>
    </w:p>
    <w:p w14:paraId="51A40A14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B416E">
        <w:rPr>
          <w:rFonts w:asciiTheme="minorHAnsi" w:hAnsiTheme="minorHAnsi" w:cstheme="minorHAnsi"/>
          <w:sz w:val="22"/>
          <w:szCs w:val="22"/>
        </w:rPr>
        <w:t>Závierkové</w:t>
      </w:r>
      <w:proofErr w:type="spellEnd"/>
      <w:r w:rsidRPr="004B416E">
        <w:rPr>
          <w:rFonts w:asciiTheme="minorHAnsi" w:hAnsiTheme="minorHAnsi" w:cstheme="minorHAnsi"/>
          <w:sz w:val="22"/>
          <w:szCs w:val="22"/>
        </w:rPr>
        <w:t xml:space="preserve"> účtovné operácie </w:t>
      </w:r>
    </w:p>
    <w:p w14:paraId="1D238945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Zabezpečenie úplnosti účtovníctva </w:t>
      </w:r>
    </w:p>
    <w:p w14:paraId="7755D409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Zistenie nevyfakturovaných splnených dodávok </w:t>
      </w:r>
    </w:p>
    <w:p w14:paraId="32B45169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Zistenie pohľadávok s neurčitou výškou </w:t>
      </w:r>
    </w:p>
    <w:p w14:paraId="4AA3F19A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Upresnenie výšky záväzkov </w:t>
      </w:r>
    </w:p>
    <w:p w14:paraId="0E786D3A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Časové rozlíšenie nákladov a výnosov </w:t>
      </w:r>
    </w:p>
    <w:p w14:paraId="3D02FA1A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Stanovenie a zaúčtovanie reálnej hodnoty </w:t>
      </w:r>
    </w:p>
    <w:p w14:paraId="36417B7B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Stanovenie a zaúčtovanie opravných položiek </w:t>
      </w:r>
    </w:p>
    <w:p w14:paraId="092AF4D4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Stanovenie rezerv a stanovenie ich výšky </w:t>
      </w:r>
    </w:p>
    <w:p w14:paraId="4FFF2602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Odložená daň z príjmov </w:t>
      </w:r>
    </w:p>
    <w:p w14:paraId="0A61EF06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Prepočet majetku a záväzkov v cudzej mene </w:t>
      </w:r>
    </w:p>
    <w:p w14:paraId="6A1B79EA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Kontrola princípu bilančnej kontinuity </w:t>
      </w:r>
    </w:p>
    <w:p w14:paraId="3B2103D0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Kontrola účtu 431 </w:t>
      </w:r>
    </w:p>
    <w:p w14:paraId="7C9C1B6D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Splatná daň z príjmov</w:t>
      </w:r>
    </w:p>
    <w:p w14:paraId="0BD50EC6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Účtovné prípady pri zostavení účtovnej závierky</w:t>
      </w:r>
    </w:p>
    <w:tbl>
      <w:tblPr>
        <w:tblStyle w:val="Mriekatabuky"/>
        <w:tblW w:w="0" w:type="auto"/>
        <w:tblInd w:w="1413" w:type="dxa"/>
        <w:tblLook w:val="04A0" w:firstRow="1" w:lastRow="0" w:firstColumn="1" w:lastColumn="0" w:noHBand="0" w:noVBand="1"/>
      </w:tblPr>
      <w:tblGrid>
        <w:gridCol w:w="3685"/>
        <w:gridCol w:w="1985"/>
        <w:gridCol w:w="1979"/>
      </w:tblGrid>
      <w:tr w:rsidR="004B416E" w:rsidRPr="004B416E" w14:paraId="29DACEC8" w14:textId="77777777" w:rsidTr="008874BF">
        <w:tc>
          <w:tcPr>
            <w:tcW w:w="3685" w:type="dxa"/>
          </w:tcPr>
          <w:p w14:paraId="07A4843F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4B416E">
              <w:rPr>
                <w:rFonts w:cstheme="minorHAnsi"/>
                <w:b/>
                <w:bCs/>
                <w:sz w:val="22"/>
                <w:szCs w:val="22"/>
              </w:rPr>
              <w:t>Závierkový</w:t>
            </w:r>
            <w:proofErr w:type="spellEnd"/>
            <w:r w:rsidRPr="004B416E">
              <w:rPr>
                <w:rFonts w:cstheme="minorHAnsi"/>
                <w:b/>
                <w:bCs/>
                <w:sz w:val="22"/>
                <w:szCs w:val="22"/>
              </w:rPr>
              <w:t xml:space="preserve"> účtovný prípad</w:t>
            </w:r>
          </w:p>
        </w:tc>
        <w:tc>
          <w:tcPr>
            <w:tcW w:w="1985" w:type="dxa"/>
          </w:tcPr>
          <w:p w14:paraId="4D720ED9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4B416E">
              <w:rPr>
                <w:rFonts w:cstheme="minorHAnsi"/>
                <w:b/>
                <w:bCs/>
                <w:sz w:val="22"/>
                <w:szCs w:val="22"/>
              </w:rPr>
              <w:t>Malá a veľká ÚJ</w:t>
            </w:r>
          </w:p>
        </w:tc>
        <w:tc>
          <w:tcPr>
            <w:tcW w:w="1979" w:type="dxa"/>
          </w:tcPr>
          <w:p w14:paraId="2BB069E2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4B416E">
              <w:rPr>
                <w:rFonts w:cstheme="minorHAnsi"/>
                <w:b/>
                <w:bCs/>
                <w:sz w:val="22"/>
                <w:szCs w:val="22"/>
              </w:rPr>
              <w:t>Mikro</w:t>
            </w:r>
            <w:proofErr w:type="spellEnd"/>
            <w:r w:rsidRPr="004B416E">
              <w:rPr>
                <w:rFonts w:cstheme="minorHAnsi"/>
                <w:b/>
                <w:bCs/>
                <w:sz w:val="22"/>
                <w:szCs w:val="22"/>
              </w:rPr>
              <w:t xml:space="preserve"> ÚJ</w:t>
            </w:r>
          </w:p>
        </w:tc>
      </w:tr>
      <w:tr w:rsidR="004B416E" w:rsidRPr="004B416E" w14:paraId="24C8A5B7" w14:textId="77777777" w:rsidTr="008874BF">
        <w:tc>
          <w:tcPr>
            <w:tcW w:w="3685" w:type="dxa"/>
          </w:tcPr>
          <w:p w14:paraId="4A3B93AA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Účtovanie o časovom rozlíšení</w:t>
            </w:r>
          </w:p>
        </w:tc>
        <w:tc>
          <w:tcPr>
            <w:tcW w:w="1985" w:type="dxa"/>
          </w:tcPr>
          <w:p w14:paraId="6A9CC5C2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                                        + možnosť výnimky</w:t>
            </w:r>
          </w:p>
        </w:tc>
        <w:tc>
          <w:tcPr>
            <w:tcW w:w="1979" w:type="dxa"/>
          </w:tcPr>
          <w:p w14:paraId="1B5B9DFD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                                     + možnosť výnimky</w:t>
            </w:r>
          </w:p>
        </w:tc>
      </w:tr>
      <w:tr w:rsidR="004B416E" w:rsidRPr="004B416E" w14:paraId="6D4E6833" w14:textId="77777777" w:rsidTr="008874BF">
        <w:tc>
          <w:tcPr>
            <w:tcW w:w="3685" w:type="dxa"/>
          </w:tcPr>
          <w:p w14:paraId="408A16CD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Účtovanie o odloženej dani</w:t>
            </w:r>
          </w:p>
        </w:tc>
        <w:tc>
          <w:tcPr>
            <w:tcW w:w="1985" w:type="dxa"/>
          </w:tcPr>
          <w:p w14:paraId="0C998E97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 alebo možnosť</w:t>
            </w:r>
          </w:p>
        </w:tc>
        <w:tc>
          <w:tcPr>
            <w:tcW w:w="1979" w:type="dxa"/>
          </w:tcPr>
          <w:p w14:paraId="7A0001B5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Nie je možné</w:t>
            </w:r>
          </w:p>
        </w:tc>
      </w:tr>
      <w:tr w:rsidR="004B416E" w:rsidRPr="004B416E" w14:paraId="4BA7C6AC" w14:textId="77777777" w:rsidTr="008874BF">
        <w:tc>
          <w:tcPr>
            <w:tcW w:w="3685" w:type="dxa"/>
          </w:tcPr>
          <w:p w14:paraId="740058A5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lastRenderedPageBreak/>
              <w:t>Účtovanie o inventarizačných rozdieloch</w:t>
            </w:r>
          </w:p>
        </w:tc>
        <w:tc>
          <w:tcPr>
            <w:tcW w:w="1985" w:type="dxa"/>
          </w:tcPr>
          <w:p w14:paraId="4C55B657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</w:t>
            </w:r>
          </w:p>
        </w:tc>
        <w:tc>
          <w:tcPr>
            <w:tcW w:w="1979" w:type="dxa"/>
          </w:tcPr>
          <w:p w14:paraId="0F40FFF3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</w:t>
            </w:r>
          </w:p>
        </w:tc>
      </w:tr>
      <w:tr w:rsidR="004B416E" w:rsidRPr="004B416E" w14:paraId="7F18C969" w14:textId="77777777" w:rsidTr="008874BF">
        <w:tc>
          <w:tcPr>
            <w:tcW w:w="3685" w:type="dxa"/>
          </w:tcPr>
          <w:p w14:paraId="7E7D9391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Účtovanie o zmene hodnoty cenných papierov, podielov a derivátov</w:t>
            </w:r>
          </w:p>
        </w:tc>
        <w:tc>
          <w:tcPr>
            <w:tcW w:w="1985" w:type="dxa"/>
          </w:tcPr>
          <w:p w14:paraId="32930EC6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79" w:type="dxa"/>
          </w:tcPr>
          <w:p w14:paraId="4EAA8763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4B416E" w:rsidRPr="004B416E" w14:paraId="623B0997" w14:textId="77777777" w:rsidTr="008874BF">
        <w:tc>
          <w:tcPr>
            <w:tcW w:w="3685" w:type="dxa"/>
          </w:tcPr>
          <w:p w14:paraId="74F3C949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- zmena reálnej hodnoty</w:t>
            </w:r>
          </w:p>
        </w:tc>
        <w:tc>
          <w:tcPr>
            <w:tcW w:w="1985" w:type="dxa"/>
          </w:tcPr>
          <w:p w14:paraId="477DF75F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</w:t>
            </w:r>
          </w:p>
        </w:tc>
        <w:tc>
          <w:tcPr>
            <w:tcW w:w="1979" w:type="dxa"/>
          </w:tcPr>
          <w:p w14:paraId="4687C91C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Nie je možné</w:t>
            </w:r>
          </w:p>
        </w:tc>
      </w:tr>
      <w:tr w:rsidR="004B416E" w:rsidRPr="004B416E" w14:paraId="70121D9D" w14:textId="77777777" w:rsidTr="008874BF">
        <w:tc>
          <w:tcPr>
            <w:tcW w:w="3685" w:type="dxa"/>
          </w:tcPr>
          <w:p w14:paraId="0DEBDE91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- metóda vlastného imania</w:t>
            </w:r>
          </w:p>
        </w:tc>
        <w:tc>
          <w:tcPr>
            <w:tcW w:w="1985" w:type="dxa"/>
          </w:tcPr>
          <w:p w14:paraId="2CC62C0E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Možnosť</w:t>
            </w:r>
          </w:p>
        </w:tc>
        <w:tc>
          <w:tcPr>
            <w:tcW w:w="1979" w:type="dxa"/>
          </w:tcPr>
          <w:p w14:paraId="4994E496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Nie je možné</w:t>
            </w:r>
          </w:p>
        </w:tc>
      </w:tr>
      <w:tr w:rsidR="004B416E" w:rsidRPr="004B416E" w14:paraId="54EFA238" w14:textId="77777777" w:rsidTr="008874BF">
        <w:tc>
          <w:tcPr>
            <w:tcW w:w="3685" w:type="dxa"/>
          </w:tcPr>
          <w:p w14:paraId="0207090C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Tvorba opravných položiek</w:t>
            </w:r>
          </w:p>
        </w:tc>
        <w:tc>
          <w:tcPr>
            <w:tcW w:w="1985" w:type="dxa"/>
          </w:tcPr>
          <w:p w14:paraId="62F2D252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 xml:space="preserve">Povinnosť </w:t>
            </w:r>
          </w:p>
        </w:tc>
        <w:tc>
          <w:tcPr>
            <w:tcW w:w="1979" w:type="dxa"/>
          </w:tcPr>
          <w:p w14:paraId="187B8024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</w:t>
            </w:r>
          </w:p>
        </w:tc>
      </w:tr>
      <w:tr w:rsidR="004B416E" w:rsidRPr="004B416E" w14:paraId="5E1D833A" w14:textId="77777777" w:rsidTr="008874BF">
        <w:tc>
          <w:tcPr>
            <w:tcW w:w="3685" w:type="dxa"/>
          </w:tcPr>
          <w:p w14:paraId="082F2094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Zaúčtovanie zvýšenia záväzkov, zníženia záväzkov</w:t>
            </w:r>
          </w:p>
        </w:tc>
        <w:tc>
          <w:tcPr>
            <w:tcW w:w="1985" w:type="dxa"/>
          </w:tcPr>
          <w:p w14:paraId="13018644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 xml:space="preserve">Povinnosť </w:t>
            </w:r>
          </w:p>
        </w:tc>
        <w:tc>
          <w:tcPr>
            <w:tcW w:w="1979" w:type="dxa"/>
          </w:tcPr>
          <w:p w14:paraId="3C889088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</w:t>
            </w:r>
          </w:p>
        </w:tc>
      </w:tr>
      <w:tr w:rsidR="004B416E" w:rsidRPr="004B416E" w14:paraId="039F51A7" w14:textId="77777777" w:rsidTr="008874BF">
        <w:tc>
          <w:tcPr>
            <w:tcW w:w="3685" w:type="dxa"/>
          </w:tcPr>
          <w:p w14:paraId="2D402F66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Tvorba rezerv</w:t>
            </w:r>
          </w:p>
        </w:tc>
        <w:tc>
          <w:tcPr>
            <w:tcW w:w="1985" w:type="dxa"/>
          </w:tcPr>
          <w:p w14:paraId="1267220A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 xml:space="preserve">Povinnosť </w:t>
            </w:r>
          </w:p>
        </w:tc>
        <w:tc>
          <w:tcPr>
            <w:tcW w:w="1979" w:type="dxa"/>
          </w:tcPr>
          <w:p w14:paraId="1991A623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</w:t>
            </w:r>
          </w:p>
        </w:tc>
      </w:tr>
      <w:tr w:rsidR="004B416E" w:rsidRPr="004B416E" w14:paraId="672F72C0" w14:textId="77777777" w:rsidTr="008874BF">
        <w:tc>
          <w:tcPr>
            <w:tcW w:w="3685" w:type="dxa"/>
          </w:tcPr>
          <w:p w14:paraId="120C2B58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Účtovanie o nevyfakturovaných dodávkach</w:t>
            </w:r>
          </w:p>
        </w:tc>
        <w:tc>
          <w:tcPr>
            <w:tcW w:w="1985" w:type="dxa"/>
          </w:tcPr>
          <w:p w14:paraId="77E780DE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 xml:space="preserve">Povinnosť </w:t>
            </w:r>
          </w:p>
        </w:tc>
        <w:tc>
          <w:tcPr>
            <w:tcW w:w="1979" w:type="dxa"/>
          </w:tcPr>
          <w:p w14:paraId="0747C3CE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</w:t>
            </w:r>
          </w:p>
        </w:tc>
      </w:tr>
      <w:tr w:rsidR="004B416E" w:rsidRPr="004B416E" w14:paraId="06927982" w14:textId="77777777" w:rsidTr="008874BF">
        <w:tc>
          <w:tcPr>
            <w:tcW w:w="3685" w:type="dxa"/>
          </w:tcPr>
          <w:p w14:paraId="22522371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 Účtovanie pohľadávky v prípade, ak nie je vyhotovený účtovný doklad pre dlžníka</w:t>
            </w:r>
          </w:p>
        </w:tc>
        <w:tc>
          <w:tcPr>
            <w:tcW w:w="1985" w:type="dxa"/>
          </w:tcPr>
          <w:p w14:paraId="44266AE9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 xml:space="preserve">Povinnosť </w:t>
            </w:r>
          </w:p>
        </w:tc>
        <w:tc>
          <w:tcPr>
            <w:tcW w:w="1979" w:type="dxa"/>
          </w:tcPr>
          <w:p w14:paraId="10E043B7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</w:t>
            </w:r>
          </w:p>
        </w:tc>
      </w:tr>
      <w:tr w:rsidR="004B416E" w:rsidRPr="004B416E" w14:paraId="1E409A44" w14:textId="77777777" w:rsidTr="008874BF">
        <w:tc>
          <w:tcPr>
            <w:tcW w:w="3685" w:type="dxa"/>
          </w:tcPr>
          <w:p w14:paraId="3C4C2247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Zaúčtovanie kurzových rozdielov</w:t>
            </w:r>
          </w:p>
        </w:tc>
        <w:tc>
          <w:tcPr>
            <w:tcW w:w="1985" w:type="dxa"/>
          </w:tcPr>
          <w:p w14:paraId="4FCBE485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 xml:space="preserve">Povinnosť </w:t>
            </w:r>
          </w:p>
        </w:tc>
        <w:tc>
          <w:tcPr>
            <w:tcW w:w="1979" w:type="dxa"/>
          </w:tcPr>
          <w:p w14:paraId="5C0A9D47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</w:t>
            </w:r>
          </w:p>
        </w:tc>
      </w:tr>
      <w:tr w:rsidR="004B416E" w:rsidRPr="004B416E" w14:paraId="6709D1A1" w14:textId="77777777" w:rsidTr="008874BF">
        <w:tc>
          <w:tcPr>
            <w:tcW w:w="3685" w:type="dxa"/>
          </w:tcPr>
          <w:p w14:paraId="2F6AE4A4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Účtovanie pohľadávok a záväzkov, účtov časového rozlíšenia a rezerv na AÚ podľa zostatkovej doby splatnosti</w:t>
            </w:r>
          </w:p>
        </w:tc>
        <w:tc>
          <w:tcPr>
            <w:tcW w:w="1985" w:type="dxa"/>
          </w:tcPr>
          <w:p w14:paraId="32D23B6D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 xml:space="preserve">Povinnosť </w:t>
            </w:r>
          </w:p>
        </w:tc>
        <w:tc>
          <w:tcPr>
            <w:tcW w:w="1979" w:type="dxa"/>
          </w:tcPr>
          <w:p w14:paraId="463E81E4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Povinnosť</w:t>
            </w:r>
          </w:p>
        </w:tc>
      </w:tr>
    </w:tbl>
    <w:p w14:paraId="7EBC0A77" w14:textId="77777777" w:rsidR="004B416E" w:rsidRPr="004B416E" w:rsidRDefault="004B416E" w:rsidP="004B416E">
      <w:pPr>
        <w:pStyle w:val="Odsekzoznamu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EA7689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Overuje sa, či evidovaný stav majetku, záväzkov a vlastného imania zodpovedá skutočnosti (overenie existencie a správnosti ocenenia, napr. prepočet aktuálnym kurzom)</w:t>
      </w:r>
    </w:p>
    <w:p w14:paraId="53D2309F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Periodicita</w:t>
      </w:r>
    </w:p>
    <w:p w14:paraId="41A02F36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Dlhodobý majetok raz za 4 roky</w:t>
      </w:r>
    </w:p>
    <w:p w14:paraId="393FF03A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Hotovosť najmenej raz ročne</w:t>
      </w:r>
    </w:p>
    <w:p w14:paraId="64EFB118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Ostatný majetok ročne (zásoby najneskôr do konca prvého mesiaca nasledujúceho roka)</w:t>
      </w:r>
    </w:p>
    <w:p w14:paraId="5A69BF42" w14:textId="77777777" w:rsidR="004B416E" w:rsidRPr="004B416E" w:rsidRDefault="004B416E" w:rsidP="004B416E">
      <w:pPr>
        <w:pStyle w:val="Odsekzoznamu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Sledovanie dokladov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615"/>
        <w:gridCol w:w="2758"/>
      </w:tblGrid>
      <w:tr w:rsidR="004B416E" w:rsidRPr="004B416E" w14:paraId="0398DDF9" w14:textId="77777777" w:rsidTr="008874BF">
        <w:tc>
          <w:tcPr>
            <w:tcW w:w="1969" w:type="dxa"/>
          </w:tcPr>
          <w:p w14:paraId="25DB2324" w14:textId="79670B3F" w:rsidR="00C15D73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Prijaté dodávky do 31.12. 202</w:t>
            </w:r>
            <w:r w:rsidR="00C15D73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3615" w:type="dxa"/>
          </w:tcPr>
          <w:p w14:paraId="62DFDF96" w14:textId="23A29CF2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 xml:space="preserve">Doklady doručené </w:t>
            </w:r>
            <w:r w:rsidRPr="004B416E">
              <w:rPr>
                <w:rFonts w:cstheme="minorHAnsi"/>
                <w:b/>
                <w:bCs/>
                <w:sz w:val="22"/>
                <w:szCs w:val="22"/>
              </w:rPr>
              <w:t>do dňa</w:t>
            </w:r>
            <w:r w:rsidRPr="004B416E">
              <w:rPr>
                <w:rFonts w:cstheme="minorHAnsi"/>
                <w:sz w:val="22"/>
                <w:szCs w:val="22"/>
              </w:rPr>
              <w:t xml:space="preserve"> určenej v internej smernici</w:t>
            </w:r>
            <w:r w:rsidR="00D3354A">
              <w:rPr>
                <w:rFonts w:cstheme="minorHAnsi"/>
                <w:sz w:val="22"/>
                <w:szCs w:val="22"/>
              </w:rPr>
              <w:t xml:space="preserve"> (napr. 20.1.)</w:t>
            </w:r>
          </w:p>
        </w:tc>
        <w:tc>
          <w:tcPr>
            <w:tcW w:w="2758" w:type="dxa"/>
          </w:tcPr>
          <w:p w14:paraId="41917095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 xml:space="preserve">Doklady doručené </w:t>
            </w:r>
            <w:r w:rsidRPr="004B416E">
              <w:rPr>
                <w:rFonts w:cstheme="minorHAnsi"/>
                <w:b/>
                <w:bCs/>
                <w:sz w:val="22"/>
                <w:szCs w:val="22"/>
              </w:rPr>
              <w:t>po dni</w:t>
            </w:r>
            <w:r w:rsidRPr="004B416E">
              <w:rPr>
                <w:rFonts w:cstheme="minorHAnsi"/>
                <w:sz w:val="22"/>
                <w:szCs w:val="22"/>
              </w:rPr>
              <w:t xml:space="preserve"> určenom v internej smernici</w:t>
            </w:r>
          </w:p>
        </w:tc>
      </w:tr>
      <w:tr w:rsidR="004B416E" w:rsidRPr="004B416E" w14:paraId="0C704E2C" w14:textId="77777777" w:rsidTr="008874BF">
        <w:tc>
          <w:tcPr>
            <w:tcW w:w="1969" w:type="dxa"/>
          </w:tcPr>
          <w:p w14:paraId="1A8844C5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5" w:type="dxa"/>
          </w:tcPr>
          <w:p w14:paraId="78C2EC97" w14:textId="5FCD8211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Účtovný doklad 202</w:t>
            </w:r>
            <w:r w:rsidR="00C15D73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758" w:type="dxa"/>
          </w:tcPr>
          <w:p w14:paraId="68FB5171" w14:textId="4F63850B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Účtovný doklad 202</w:t>
            </w:r>
            <w:r w:rsidR="00C15D73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4B416E" w:rsidRPr="004B416E" w14:paraId="5FAF9D64" w14:textId="77777777" w:rsidTr="008874BF">
        <w:tc>
          <w:tcPr>
            <w:tcW w:w="1969" w:type="dxa"/>
          </w:tcPr>
          <w:p w14:paraId="4B739399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5" w:type="dxa"/>
          </w:tcPr>
          <w:p w14:paraId="2BF23577" w14:textId="2C8E0382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Číselný rad dokladov 202</w:t>
            </w:r>
            <w:r w:rsidR="00C15D73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758" w:type="dxa"/>
          </w:tcPr>
          <w:p w14:paraId="05F9EAC1" w14:textId="1EDBFC36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Číselný rad 202</w:t>
            </w:r>
            <w:r w:rsidR="00C15D73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4B416E" w:rsidRPr="004B416E" w14:paraId="1BEEBF2F" w14:textId="77777777" w:rsidTr="008874BF">
        <w:tc>
          <w:tcPr>
            <w:tcW w:w="1969" w:type="dxa"/>
          </w:tcPr>
          <w:p w14:paraId="6F35F6C4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5" w:type="dxa"/>
          </w:tcPr>
          <w:p w14:paraId="0448BD8F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Použitie účtov, na ktorých sa účtuje na základe doručeného dokladu</w:t>
            </w:r>
          </w:p>
        </w:tc>
        <w:tc>
          <w:tcPr>
            <w:tcW w:w="2758" w:type="dxa"/>
          </w:tcPr>
          <w:p w14:paraId="759CD044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Náklad, majetok /323 Náklad, majetok/326</w:t>
            </w:r>
          </w:p>
        </w:tc>
      </w:tr>
      <w:tr w:rsidR="004B416E" w:rsidRPr="004B416E" w14:paraId="3669CA9E" w14:textId="77777777" w:rsidTr="008874BF">
        <w:tc>
          <w:tcPr>
            <w:tcW w:w="1969" w:type="dxa"/>
          </w:tcPr>
          <w:p w14:paraId="312938EE" w14:textId="313431FE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Splnené dodávky do 31.12. 202</w:t>
            </w:r>
            <w:r w:rsidR="00C15D73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3615" w:type="dxa"/>
          </w:tcPr>
          <w:p w14:paraId="1579C78C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Doklady vyhotovené do dňa určenej v internej smernici</w:t>
            </w:r>
          </w:p>
        </w:tc>
        <w:tc>
          <w:tcPr>
            <w:tcW w:w="2758" w:type="dxa"/>
          </w:tcPr>
          <w:p w14:paraId="7BE90B77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Doklady vyhotovené po dni určenej v internej smernici</w:t>
            </w:r>
          </w:p>
        </w:tc>
      </w:tr>
      <w:tr w:rsidR="004B416E" w:rsidRPr="004B416E" w14:paraId="6A45310E" w14:textId="77777777" w:rsidTr="008874BF">
        <w:tc>
          <w:tcPr>
            <w:tcW w:w="1969" w:type="dxa"/>
          </w:tcPr>
          <w:p w14:paraId="138EE8F1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5" w:type="dxa"/>
          </w:tcPr>
          <w:p w14:paraId="6C8B1B59" w14:textId="43BBAD7C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Účtovný doklad 202</w:t>
            </w:r>
            <w:r w:rsidR="00C15D73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758" w:type="dxa"/>
          </w:tcPr>
          <w:p w14:paraId="2FA50F35" w14:textId="7D7A0CE9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Účtovný doklad 202</w:t>
            </w:r>
            <w:r w:rsidR="00C15D73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4B416E" w:rsidRPr="004B416E" w14:paraId="4C8825F5" w14:textId="77777777" w:rsidTr="008874BF">
        <w:tc>
          <w:tcPr>
            <w:tcW w:w="1969" w:type="dxa"/>
          </w:tcPr>
          <w:p w14:paraId="7B77C6E4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5" w:type="dxa"/>
          </w:tcPr>
          <w:p w14:paraId="3D160CBE" w14:textId="6F386A30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Číselný rad dokladov 202</w:t>
            </w:r>
            <w:r w:rsidR="00C15D73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758" w:type="dxa"/>
          </w:tcPr>
          <w:p w14:paraId="11F3AEDE" w14:textId="2D6254C0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Číselný rad dokladov 202</w:t>
            </w:r>
            <w:r w:rsidR="00C15D73"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4B416E" w:rsidRPr="004B416E" w14:paraId="6795239A" w14:textId="77777777" w:rsidTr="008874BF">
        <w:tc>
          <w:tcPr>
            <w:tcW w:w="1969" w:type="dxa"/>
          </w:tcPr>
          <w:p w14:paraId="1E250165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15" w:type="dxa"/>
          </w:tcPr>
          <w:p w14:paraId="0CB34DEC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Použitie účtov, na ktorých sa účtuje na základe dokladu</w:t>
            </w:r>
          </w:p>
        </w:tc>
        <w:tc>
          <w:tcPr>
            <w:tcW w:w="2758" w:type="dxa"/>
          </w:tcPr>
          <w:p w14:paraId="55C0FC1F" w14:textId="77777777" w:rsidR="004B416E" w:rsidRPr="004B416E" w:rsidRDefault="004B416E" w:rsidP="008874BF">
            <w:pPr>
              <w:pStyle w:val="Odsekzoznamu"/>
              <w:ind w:left="0"/>
              <w:rPr>
                <w:rFonts w:cstheme="minorHAnsi"/>
                <w:sz w:val="22"/>
                <w:szCs w:val="22"/>
              </w:rPr>
            </w:pPr>
            <w:r w:rsidRPr="004B416E">
              <w:rPr>
                <w:rFonts w:cstheme="minorHAnsi"/>
                <w:sz w:val="22"/>
                <w:szCs w:val="22"/>
              </w:rPr>
              <w:t>Osobitný analytický účet pohľadávok</w:t>
            </w:r>
          </w:p>
        </w:tc>
      </w:tr>
    </w:tbl>
    <w:p w14:paraId="5F83ABD3" w14:textId="77777777" w:rsidR="004B416E" w:rsidRPr="004B416E" w:rsidRDefault="004B416E" w:rsidP="004B416E">
      <w:pPr>
        <w:pStyle w:val="Odsekzoznamu"/>
        <w:ind w:left="709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Ak poznáme presnú sumu, účtujeme ako záväzok, ak nepoznáme, tak ako rezerva 326 (476)</w:t>
      </w:r>
    </w:p>
    <w:p w14:paraId="5963B889" w14:textId="77777777" w:rsidR="004B416E" w:rsidRPr="004B416E" w:rsidRDefault="004B416E" w:rsidP="004B416E">
      <w:pPr>
        <w:pStyle w:val="Odsekzoznamu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Aktivácia nákladov</w:t>
      </w:r>
    </w:p>
    <w:p w14:paraId="61AB3569" w14:textId="77777777" w:rsidR="004B416E" w:rsidRPr="004B416E" w:rsidRDefault="004B416E" w:rsidP="004B416E">
      <w:pPr>
        <w:pStyle w:val="Odsekzoznamu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Daň z motorových vozidiel za bežný rok</w:t>
      </w:r>
    </w:p>
    <w:p w14:paraId="002CEE97" w14:textId="77777777" w:rsidR="004B416E" w:rsidRPr="004B416E" w:rsidRDefault="004B416E" w:rsidP="004B416E">
      <w:pPr>
        <w:pStyle w:val="Odsekzoznamu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Kontrola bilančnej kontinuity</w:t>
      </w:r>
    </w:p>
    <w:p w14:paraId="56C9CA7B" w14:textId="77777777" w:rsidR="004B416E" w:rsidRPr="004B416E" w:rsidRDefault="004B416E" w:rsidP="004B416E">
      <w:pPr>
        <w:pStyle w:val="Odsekzoznamu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Časové rozlíšenie </w:t>
      </w:r>
    </w:p>
    <w:p w14:paraId="1669B04C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4B416E">
        <w:rPr>
          <w:rFonts w:asciiTheme="minorHAnsi" w:hAnsiTheme="minorHAnsi" w:cstheme="minorHAnsi"/>
          <w:sz w:val="22"/>
          <w:szCs w:val="22"/>
        </w:rPr>
        <w:lastRenderedPageBreak/>
        <w:t>Mikro</w:t>
      </w:r>
      <w:proofErr w:type="spellEnd"/>
      <w:r w:rsidRPr="004B416E">
        <w:rPr>
          <w:rFonts w:asciiTheme="minorHAnsi" w:hAnsiTheme="minorHAnsi" w:cstheme="minorHAnsi"/>
          <w:sz w:val="22"/>
          <w:szCs w:val="22"/>
        </w:rPr>
        <w:t xml:space="preserve"> UJ - nie je potrebné u nevýznamných, stále sa opakujúcich položiek v rámci rokov</w:t>
      </w:r>
    </w:p>
    <w:p w14:paraId="6F9D0CC7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Malá a veľká UJ - nie je potrebné u nevýznamných, stále sa opakujúcich položiek v rámci decembra a januára </w:t>
      </w:r>
    </w:p>
    <w:p w14:paraId="77001ED5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Čo sa časovo nerozlišuje:</w:t>
      </w:r>
    </w:p>
    <w:p w14:paraId="5AABCAFC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manká a škody, </w:t>
      </w:r>
    </w:p>
    <w:p w14:paraId="0B971E43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náklady na školenia, </w:t>
      </w:r>
    </w:p>
    <w:p w14:paraId="3F70955B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marketingové štúdie, </w:t>
      </w:r>
    </w:p>
    <w:p w14:paraId="5D1E938E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náklady na prieskum trhu, </w:t>
      </w:r>
    </w:p>
    <w:p w14:paraId="790FA412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náklady na získanie noriem a certifikátov, </w:t>
      </w:r>
    </w:p>
    <w:p w14:paraId="68163F8C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náklady na uvedenie výrobkov na trh, </w:t>
      </w:r>
    </w:p>
    <w:p w14:paraId="3890C530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náklady na reštrukturalizáciu a reorganizáciu podniku alebo jeho časti, </w:t>
      </w:r>
    </w:p>
    <w:p w14:paraId="24E9886C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náklady na rozšírenie výroby, </w:t>
      </w:r>
    </w:p>
    <w:p w14:paraId="2E2363BD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náklady na reklamu a propagáciu </w:t>
      </w:r>
    </w:p>
    <w:p w14:paraId="1EB60E99" w14:textId="77777777" w:rsidR="004B416E" w:rsidRPr="004B416E" w:rsidRDefault="004B416E" w:rsidP="004B416E">
      <w:pPr>
        <w:pStyle w:val="Odsekzoznamu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Úroky z omeškania</w:t>
      </w:r>
    </w:p>
    <w:p w14:paraId="495ABB41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Zmluvné – povinnosť</w:t>
      </w:r>
    </w:p>
    <w:p w14:paraId="38CE84E1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Nezmluvné – možnosť</w:t>
      </w:r>
    </w:p>
    <w:p w14:paraId="65CC8487" w14:textId="77777777" w:rsidR="004B416E" w:rsidRPr="004B416E" w:rsidRDefault="004B416E" w:rsidP="004B416E">
      <w:pPr>
        <w:pStyle w:val="Odsekzoznamu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>Premlčané pohľadávky</w:t>
      </w:r>
    </w:p>
    <w:p w14:paraId="7205123F" w14:textId="77777777" w:rsidR="004B416E" w:rsidRPr="004B416E" w:rsidRDefault="004B416E" w:rsidP="004B416E">
      <w:pPr>
        <w:pStyle w:val="Odsekzoznamu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Všeobecná premlčacia doba </w:t>
      </w:r>
    </w:p>
    <w:p w14:paraId="4799E79C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3 roky - § 101 </w:t>
      </w:r>
      <w:proofErr w:type="spellStart"/>
      <w:r w:rsidRPr="004B416E">
        <w:rPr>
          <w:rFonts w:asciiTheme="minorHAnsi" w:hAnsiTheme="minorHAnsi" w:cstheme="minorHAnsi"/>
          <w:sz w:val="22"/>
          <w:szCs w:val="22"/>
        </w:rPr>
        <w:t>Obč.z</w:t>
      </w:r>
      <w:proofErr w:type="spellEnd"/>
      <w:r w:rsidRPr="004B416E">
        <w:rPr>
          <w:rFonts w:asciiTheme="minorHAnsi" w:hAnsiTheme="minorHAnsi" w:cstheme="minorHAnsi"/>
          <w:sz w:val="22"/>
          <w:szCs w:val="22"/>
        </w:rPr>
        <w:t>.</w:t>
      </w:r>
    </w:p>
    <w:p w14:paraId="765714B9" w14:textId="77777777" w:rsidR="004B416E" w:rsidRPr="004B416E" w:rsidRDefault="004B416E" w:rsidP="004B416E">
      <w:pPr>
        <w:pStyle w:val="Odsekzoznamu"/>
        <w:numPr>
          <w:ilvl w:val="2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4 roky - § 397 </w:t>
      </w:r>
      <w:proofErr w:type="spellStart"/>
      <w:r w:rsidRPr="004B416E">
        <w:rPr>
          <w:rFonts w:asciiTheme="minorHAnsi" w:hAnsiTheme="minorHAnsi" w:cstheme="minorHAnsi"/>
          <w:sz w:val="22"/>
          <w:szCs w:val="22"/>
        </w:rPr>
        <w:t>Obch.z</w:t>
      </w:r>
      <w:proofErr w:type="spellEnd"/>
      <w:r w:rsidRPr="004B416E">
        <w:rPr>
          <w:rFonts w:asciiTheme="minorHAnsi" w:hAnsiTheme="minorHAnsi" w:cstheme="minorHAnsi"/>
          <w:sz w:val="22"/>
          <w:szCs w:val="22"/>
        </w:rPr>
        <w:t>.</w:t>
      </w:r>
    </w:p>
    <w:p w14:paraId="05C3013C" w14:textId="0502C887" w:rsidR="004B416E" w:rsidRDefault="004B416E" w:rsidP="004B416E">
      <w:pPr>
        <w:pStyle w:val="Odsekzoznamu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hAnsiTheme="minorHAnsi" w:cstheme="minorHAnsi"/>
          <w:sz w:val="22"/>
          <w:szCs w:val="22"/>
        </w:rPr>
        <w:t xml:space="preserve">Paušálne náklady spojené s pohľadávkami nárokované </w:t>
      </w:r>
      <w:r w:rsidR="00C5666B">
        <w:rPr>
          <w:rFonts w:asciiTheme="minorHAnsi" w:hAnsiTheme="minorHAnsi" w:cstheme="minorHAnsi"/>
          <w:sz w:val="22"/>
          <w:szCs w:val="22"/>
        </w:rPr>
        <w:t>u</w:t>
      </w:r>
      <w:r w:rsidRPr="004B416E">
        <w:rPr>
          <w:rFonts w:asciiTheme="minorHAnsi" w:hAnsiTheme="minorHAnsi" w:cstheme="minorHAnsi"/>
          <w:sz w:val="22"/>
          <w:szCs w:val="22"/>
        </w:rPr>
        <w:t xml:space="preserve"> dlžníka zaúčtované v nákladoch 2021 sú daňovým výdavkom po zaplatení a u veriteľa výnosom na základe povinnosti o nich účtovať.</w:t>
      </w:r>
    </w:p>
    <w:p w14:paraId="0AD8A9D0" w14:textId="12DB0EAC" w:rsidR="00E81FCF" w:rsidRDefault="00E81FCF" w:rsidP="00E81FC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Pozn. </w:t>
      </w:r>
      <w:r w:rsidRPr="00E81FCF">
        <w:rPr>
          <w:rFonts w:asciiTheme="minorHAnsi" w:hAnsiTheme="minorHAnsi" w:cstheme="minorHAnsi"/>
          <w:i/>
          <w:iCs/>
          <w:sz w:val="22"/>
          <w:szCs w:val="22"/>
          <w:u w:val="single"/>
        </w:rPr>
        <w:t>Šifrovanie a heslovanie</w:t>
      </w:r>
    </w:p>
    <w:p w14:paraId="771AD370" w14:textId="391C8BCE" w:rsidR="00E81FCF" w:rsidRDefault="00E81FCF" w:rsidP="00E81FC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E81FCF">
        <w:rPr>
          <w:rFonts w:asciiTheme="minorHAnsi" w:hAnsiTheme="minorHAnsi" w:cstheme="minorHAnsi"/>
          <w:i/>
          <w:iCs/>
          <w:sz w:val="22"/>
          <w:szCs w:val="22"/>
        </w:rPr>
        <w:t xml:space="preserve">V prípade, že budeme digitalizovať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doklady s osobnými údajmi, </w:t>
      </w:r>
      <w:r w:rsidRPr="00E81FCF">
        <w:rPr>
          <w:rFonts w:asciiTheme="minorHAnsi" w:hAnsiTheme="minorHAnsi" w:cstheme="minorHAnsi"/>
          <w:i/>
          <w:iCs/>
          <w:sz w:val="22"/>
          <w:szCs w:val="22"/>
        </w:rPr>
        <w:t>napríklad pracovné zmluvy, mzdovú agendu, určite si musíme dať pozor aj na požiadavky nariadenia Európskeho parlamentu a Rady (EÚ) 2016/679 z 27. apríla 2016 o ochrane fyzických osôb pri spracúvaní osobných údajov a o voľnom pohybe takýchto údajov (nariadenie GDPR) a zákon 18/2018 Z. z. v znení neskorších predpisov o ochrane osobných údajov.</w:t>
      </w:r>
    </w:p>
    <w:p w14:paraId="172C2BFD" w14:textId="48E4EB30" w:rsidR="00BD4088" w:rsidRPr="00E81FCF" w:rsidRDefault="00BD4088" w:rsidP="00E81FCF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Elektronickú konverziu dát (digitalizáciu) možno urobiť s dokladmi od roku 2013 podľa pravidiel platných pre rok 2022. </w:t>
      </w:r>
    </w:p>
    <w:p w14:paraId="334F9CCD" w14:textId="77777777" w:rsidR="00DD1707" w:rsidRPr="004B416E" w:rsidRDefault="00DD1707" w:rsidP="004B416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DD1707" w:rsidRPr="004B4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19B15" w14:textId="77777777" w:rsidR="004400DC" w:rsidRDefault="004400DC">
      <w:r>
        <w:separator/>
      </w:r>
    </w:p>
  </w:endnote>
  <w:endnote w:type="continuationSeparator" w:id="0">
    <w:p w14:paraId="309FA2B1" w14:textId="77777777" w:rsidR="004400DC" w:rsidRDefault="0044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6A55D" w14:textId="77777777" w:rsidR="007F6835" w:rsidRDefault="007F68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95B9" w14:textId="46040FE5" w:rsidR="00A411A1" w:rsidRDefault="00A411A1">
    <w:pPr>
      <w:pStyle w:val="Pta"/>
      <w:rPr>
        <w:rFonts w:ascii="Arial" w:hAnsi="Arial" w:cs="Arial"/>
        <w:color w:val="808080"/>
        <w:sz w:val="12"/>
        <w:szCs w:val="12"/>
      </w:rPr>
    </w:pPr>
    <w:r>
      <w:rPr>
        <w:rFonts w:ascii="Arial" w:hAnsi="Arial" w:cs="Arial"/>
        <w:color w:val="808080"/>
        <w:sz w:val="12"/>
        <w:szCs w:val="12"/>
      </w:rPr>
      <w:t>___________________________________________________________________________________________</w:t>
    </w:r>
  </w:p>
  <w:p w14:paraId="6CAEAEB9" w14:textId="77777777" w:rsidR="00A411A1" w:rsidRDefault="00A411A1" w:rsidP="003C6EBB">
    <w:pPr>
      <w:pStyle w:val="Pta"/>
      <w:tabs>
        <w:tab w:val="clear" w:pos="9072"/>
        <w:tab w:val="right" w:pos="9180"/>
      </w:tabs>
      <w:ind w:left="6096" w:right="23"/>
      <w:rPr>
        <w:rFonts w:ascii="Arial" w:hAnsi="Arial" w:cs="Arial"/>
        <w:color w:val="808080"/>
        <w:sz w:val="12"/>
        <w:szCs w:val="12"/>
      </w:rPr>
    </w:pPr>
    <w:r>
      <w:rPr>
        <w:rFonts w:ascii="Arial" w:hAnsi="Arial" w:cs="Arial"/>
        <w:color w:val="808080"/>
        <w:sz w:val="12"/>
        <w:szCs w:val="12"/>
      </w:rPr>
      <w:t>EkonServis k.s., Tomášikova 50/A, 831 04  Bratislava  Osvedčenie SKDP na daňové poradenstvo 45 / 2000</w:t>
    </w:r>
  </w:p>
  <w:p w14:paraId="0471EB38" w14:textId="77777777" w:rsidR="00A411A1" w:rsidRDefault="00A411A1" w:rsidP="003C6EBB">
    <w:pPr>
      <w:pStyle w:val="Pta"/>
      <w:tabs>
        <w:tab w:val="clear" w:pos="9072"/>
        <w:tab w:val="right" w:pos="9180"/>
      </w:tabs>
      <w:ind w:left="6096" w:right="23"/>
      <w:rPr>
        <w:rFonts w:ascii="Arial" w:hAnsi="Arial" w:cs="Arial"/>
        <w:color w:val="808080"/>
        <w:sz w:val="12"/>
        <w:szCs w:val="12"/>
      </w:rPr>
    </w:pPr>
    <w:r>
      <w:rPr>
        <w:rFonts w:ascii="Arial" w:hAnsi="Arial" w:cs="Arial"/>
        <w:color w:val="808080"/>
        <w:sz w:val="12"/>
        <w:szCs w:val="12"/>
      </w:rPr>
      <w:t>Okresný súd Bratislava I., Obchodný register, oddiel</w:t>
    </w:r>
  </w:p>
  <w:p w14:paraId="21596823" w14:textId="77777777" w:rsidR="00A411A1" w:rsidRDefault="00A411A1" w:rsidP="003C6EBB">
    <w:pPr>
      <w:pStyle w:val="Pta"/>
      <w:tabs>
        <w:tab w:val="clear" w:pos="9072"/>
        <w:tab w:val="right" w:pos="9180"/>
      </w:tabs>
      <w:ind w:left="6096" w:right="23"/>
      <w:rPr>
        <w:rFonts w:ascii="Arial" w:hAnsi="Arial" w:cs="Arial"/>
        <w:color w:val="808080"/>
        <w:sz w:val="12"/>
        <w:szCs w:val="12"/>
      </w:rPr>
    </w:pPr>
    <w:r>
      <w:rPr>
        <w:rFonts w:ascii="Arial" w:hAnsi="Arial" w:cs="Arial"/>
        <w:color w:val="808080"/>
        <w:sz w:val="12"/>
        <w:szCs w:val="12"/>
      </w:rPr>
      <w:t xml:space="preserve">Sr. </w:t>
    </w:r>
    <w:proofErr w:type="spellStart"/>
    <w:r>
      <w:rPr>
        <w:rFonts w:ascii="Arial" w:hAnsi="Arial" w:cs="Arial"/>
        <w:color w:val="808080"/>
        <w:sz w:val="12"/>
        <w:szCs w:val="12"/>
      </w:rPr>
      <w:t>vl</w:t>
    </w:r>
    <w:proofErr w:type="spellEnd"/>
    <w:r>
      <w:rPr>
        <w:rFonts w:ascii="Arial" w:hAnsi="Arial" w:cs="Arial"/>
        <w:color w:val="808080"/>
        <w:sz w:val="12"/>
        <w:szCs w:val="12"/>
      </w:rPr>
      <w:t>. 494/B, IČO: 35794305, IČDPH: SK2020223337</w:t>
    </w:r>
  </w:p>
  <w:p w14:paraId="584029A6" w14:textId="77777777" w:rsidR="003C6EBB" w:rsidRPr="009646F6" w:rsidRDefault="003C6EBB" w:rsidP="003C6EBB">
    <w:pPr>
      <w:pStyle w:val="Pta"/>
      <w:tabs>
        <w:tab w:val="clear" w:pos="9072"/>
        <w:tab w:val="right" w:pos="9180"/>
      </w:tabs>
      <w:ind w:left="6096" w:right="23"/>
      <w:rPr>
        <w:rFonts w:ascii="Arial" w:hAnsi="Arial" w:cs="Arial"/>
        <w:color w:val="808080"/>
        <w:sz w:val="12"/>
        <w:szCs w:val="12"/>
      </w:rPr>
    </w:pPr>
    <w:r>
      <w:rPr>
        <w:rFonts w:ascii="Arial" w:hAnsi="Arial" w:cs="Arial"/>
        <w:color w:val="808080"/>
        <w:sz w:val="12"/>
        <w:szCs w:val="12"/>
      </w:rPr>
      <w:t>tel. +421908399288  e-mail: ekonservis@ekonservis.sk</w:t>
    </w:r>
  </w:p>
  <w:p w14:paraId="7DFCC14E" w14:textId="27FAB6B6" w:rsidR="00A411A1" w:rsidRPr="009646F6" w:rsidRDefault="00A411A1" w:rsidP="003C6EBB">
    <w:pPr>
      <w:pStyle w:val="Pta"/>
      <w:tabs>
        <w:tab w:val="clear" w:pos="9072"/>
        <w:tab w:val="right" w:pos="9180"/>
      </w:tabs>
      <w:ind w:left="6300" w:right="23"/>
      <w:rPr>
        <w:rFonts w:ascii="Arial" w:hAnsi="Arial" w:cs="Arial"/>
        <w:color w:val="808080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85DA7" w14:textId="77777777" w:rsidR="007F6835" w:rsidRDefault="007F68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F4090" w14:textId="77777777" w:rsidR="004400DC" w:rsidRDefault="004400DC">
      <w:r>
        <w:separator/>
      </w:r>
    </w:p>
  </w:footnote>
  <w:footnote w:type="continuationSeparator" w:id="0">
    <w:p w14:paraId="426DF268" w14:textId="77777777" w:rsidR="004400DC" w:rsidRDefault="00440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7704F" w14:textId="77777777" w:rsidR="007F6835" w:rsidRDefault="007F68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CC192" w14:textId="77777777" w:rsidR="00A44DEE" w:rsidRDefault="00A44DEE" w:rsidP="00A44DEE">
    <w:pPr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5B4D55F1" wp14:editId="40E6E607">
          <wp:simplePos x="0" y="0"/>
          <wp:positionH relativeFrom="column">
            <wp:posOffset>-23495</wp:posOffset>
          </wp:positionH>
          <wp:positionV relativeFrom="paragraph">
            <wp:posOffset>0</wp:posOffset>
          </wp:positionV>
          <wp:extent cx="1554480" cy="754380"/>
          <wp:effectExtent l="0" t="0" r="7620" b="762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36E76" wp14:editId="05818F7E">
              <wp:simplePos x="0" y="0"/>
              <wp:positionH relativeFrom="column">
                <wp:posOffset>342900</wp:posOffset>
              </wp:positionH>
              <wp:positionV relativeFrom="paragraph">
                <wp:posOffset>374015</wp:posOffset>
              </wp:positionV>
              <wp:extent cx="5486400" cy="0"/>
              <wp:effectExtent l="13970" t="13970" r="5080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BA8D2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9.45pt" to="45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" strokecolor="gray"/>
          </w:pict>
        </mc:Fallback>
      </mc:AlternateContent>
    </w:r>
    <w:r>
      <w:rPr>
        <w:rFonts w:ascii="Arial" w:hAnsi="Arial" w:cs="Arial"/>
      </w:rPr>
      <w:t xml:space="preserve">                                   </w:t>
    </w:r>
    <w:r w:rsidRPr="003F61F0">
      <w:rPr>
        <w:rFonts w:ascii="Arial" w:hAnsi="Arial" w:cs="Arial"/>
        <w:color w:val="AEAAAA" w:themeColor="background2" w:themeShade="BF"/>
      </w:rPr>
      <w:t>®</w:t>
    </w:r>
  </w:p>
  <w:p w14:paraId="2F9AE225" w14:textId="77777777" w:rsidR="00A44DEE" w:rsidRDefault="00A44DEE" w:rsidP="00A44DEE">
    <w:pPr>
      <w:pStyle w:val="Hlavika"/>
    </w:pPr>
  </w:p>
  <w:p w14:paraId="63E272B1" w14:textId="77777777" w:rsidR="00A44DEE" w:rsidRDefault="00A44DEE" w:rsidP="00A44DEE">
    <w:pPr>
      <w:pStyle w:val="Hlavika"/>
    </w:pPr>
  </w:p>
  <w:p w14:paraId="0156D48F" w14:textId="77777777" w:rsidR="00A44DEE" w:rsidRDefault="00A44DEE" w:rsidP="00A44DEE">
    <w:pPr>
      <w:pStyle w:val="Hlavika"/>
    </w:pPr>
  </w:p>
  <w:p w14:paraId="7B2526C5" w14:textId="77777777" w:rsidR="00A44DEE" w:rsidRPr="001C097E" w:rsidRDefault="00A44DEE" w:rsidP="00A44DEE">
    <w:pPr>
      <w:pStyle w:val="Hlavika"/>
      <w:rPr>
        <w:rFonts w:ascii="Arial" w:hAnsi="Arial" w:cs="Arial"/>
        <w:color w:val="AEAAAA" w:themeColor="background2" w:themeShade="BF"/>
        <w:sz w:val="16"/>
        <w:szCs w:val="16"/>
      </w:rPr>
    </w:pPr>
    <w:r>
      <w:tab/>
    </w:r>
    <w:r>
      <w:tab/>
    </w:r>
    <w:r w:rsidRPr="001C097E">
      <w:rPr>
        <w:rFonts w:ascii="Arial" w:hAnsi="Arial" w:cs="Arial"/>
        <w:color w:val="AEAAAA" w:themeColor="background2" w:themeShade="BF"/>
        <w:sz w:val="16"/>
        <w:szCs w:val="16"/>
      </w:rPr>
      <w:t xml:space="preserve">Strana č. </w:t>
    </w:r>
    <w:r w:rsidRPr="001C097E">
      <w:rPr>
        <w:rFonts w:ascii="Arial" w:hAnsi="Arial" w:cs="Arial"/>
        <w:color w:val="AEAAAA" w:themeColor="background2" w:themeShade="BF"/>
        <w:sz w:val="16"/>
        <w:szCs w:val="16"/>
      </w:rPr>
      <w:fldChar w:fldCharType="begin"/>
    </w:r>
    <w:r w:rsidRPr="001C097E">
      <w:rPr>
        <w:rFonts w:ascii="Arial" w:hAnsi="Arial" w:cs="Arial"/>
        <w:color w:val="AEAAAA" w:themeColor="background2" w:themeShade="BF"/>
        <w:sz w:val="16"/>
        <w:szCs w:val="16"/>
      </w:rPr>
      <w:instrText>PAGE   \* MERGEFORMAT</w:instrText>
    </w:r>
    <w:r w:rsidRPr="001C097E">
      <w:rPr>
        <w:rFonts w:ascii="Arial" w:hAnsi="Arial" w:cs="Arial"/>
        <w:color w:val="AEAAAA" w:themeColor="background2" w:themeShade="BF"/>
        <w:sz w:val="16"/>
        <w:szCs w:val="16"/>
      </w:rPr>
      <w:fldChar w:fldCharType="separate"/>
    </w:r>
    <w:r>
      <w:rPr>
        <w:rFonts w:ascii="Arial" w:hAnsi="Arial" w:cs="Arial"/>
        <w:color w:val="AEAAAA" w:themeColor="background2" w:themeShade="BF"/>
        <w:sz w:val="16"/>
        <w:szCs w:val="16"/>
      </w:rPr>
      <w:t>1</w:t>
    </w:r>
    <w:r w:rsidRPr="001C097E">
      <w:rPr>
        <w:rFonts w:ascii="Arial" w:hAnsi="Arial" w:cs="Arial"/>
        <w:color w:val="AEAAAA" w:themeColor="background2" w:themeShade="BF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93609" w14:textId="77777777" w:rsidR="007F6835" w:rsidRDefault="007F68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8757C"/>
    <w:multiLevelType w:val="hybridMultilevel"/>
    <w:tmpl w:val="E7568E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24A7"/>
    <w:multiLevelType w:val="hybridMultilevel"/>
    <w:tmpl w:val="8F8A3C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776ED"/>
    <w:multiLevelType w:val="multilevel"/>
    <w:tmpl w:val="6D36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92772"/>
    <w:multiLevelType w:val="multilevel"/>
    <w:tmpl w:val="F1A8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42933"/>
    <w:multiLevelType w:val="multilevel"/>
    <w:tmpl w:val="82F4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C0E71"/>
    <w:multiLevelType w:val="multilevel"/>
    <w:tmpl w:val="74AC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14AF2"/>
    <w:multiLevelType w:val="hybridMultilevel"/>
    <w:tmpl w:val="D83AD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98323">
    <w:abstractNumId w:val="3"/>
  </w:num>
  <w:num w:numId="2" w16cid:durableId="2016375929">
    <w:abstractNumId w:val="4"/>
  </w:num>
  <w:num w:numId="3" w16cid:durableId="41757383">
    <w:abstractNumId w:val="5"/>
  </w:num>
  <w:num w:numId="4" w16cid:durableId="1014183542">
    <w:abstractNumId w:val="2"/>
  </w:num>
  <w:num w:numId="5" w16cid:durableId="1800107859">
    <w:abstractNumId w:val="1"/>
  </w:num>
  <w:num w:numId="6" w16cid:durableId="1467624833">
    <w:abstractNumId w:val="0"/>
  </w:num>
  <w:num w:numId="7" w16cid:durableId="567881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F6"/>
    <w:rsid w:val="00107A29"/>
    <w:rsid w:val="00111DB9"/>
    <w:rsid w:val="001A4DA6"/>
    <w:rsid w:val="002454FA"/>
    <w:rsid w:val="002E069A"/>
    <w:rsid w:val="00384DD0"/>
    <w:rsid w:val="00386D52"/>
    <w:rsid w:val="003C6EBB"/>
    <w:rsid w:val="00431936"/>
    <w:rsid w:val="004400DC"/>
    <w:rsid w:val="004B416E"/>
    <w:rsid w:val="005A44BD"/>
    <w:rsid w:val="005E0FC2"/>
    <w:rsid w:val="006642AC"/>
    <w:rsid w:val="00770EC0"/>
    <w:rsid w:val="00774BBC"/>
    <w:rsid w:val="007F6835"/>
    <w:rsid w:val="00873644"/>
    <w:rsid w:val="009137B8"/>
    <w:rsid w:val="009646F6"/>
    <w:rsid w:val="009933E9"/>
    <w:rsid w:val="00A411A1"/>
    <w:rsid w:val="00A44DEE"/>
    <w:rsid w:val="00A53843"/>
    <w:rsid w:val="00BA58DD"/>
    <w:rsid w:val="00BC66AA"/>
    <w:rsid w:val="00BD4088"/>
    <w:rsid w:val="00C15D73"/>
    <w:rsid w:val="00C47467"/>
    <w:rsid w:val="00C5666B"/>
    <w:rsid w:val="00D3354A"/>
    <w:rsid w:val="00DB27C3"/>
    <w:rsid w:val="00DD1707"/>
    <w:rsid w:val="00E81FCF"/>
    <w:rsid w:val="00EA2DB9"/>
    <w:rsid w:val="00F07F1E"/>
    <w:rsid w:val="00F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B693F31"/>
  <w15:chartTrackingRefBased/>
  <w15:docId w15:val="{758ADFC8-ADF5-4D94-91EE-1B5B273E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ind w:left="5664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qFormat/>
    <w:pPr>
      <w:keepNext/>
      <w:ind w:left="48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qFormat/>
    <w:rsid w:val="009137B8"/>
    <w:pPr>
      <w:keepNext/>
      <w:ind w:right="23"/>
      <w:outlineLvl w:val="4"/>
    </w:pPr>
    <w:rPr>
      <w:rFonts w:ascii="Arial" w:hAnsi="Arial" w:cs="Arial"/>
      <w:b/>
      <w:bCs/>
      <w:color w:val="4472C4" w:themeColor="accent1"/>
      <w:sz w:val="28"/>
      <w:szCs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PouitHypertextovPrepojenie">
    <w:name w:val="FollowedHyperlink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5E0FC2"/>
    <w:pPr>
      <w:spacing w:before="100" w:beforeAutospacing="1" w:after="100" w:afterAutospacing="1"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0FC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ZvraznencitciaChar">
    <w:name w:val="Zvýraznená citácia Char"/>
    <w:link w:val="Zvraznencitcia"/>
    <w:uiPriority w:val="30"/>
    <w:rsid w:val="005E0FC2"/>
    <w:rPr>
      <w:i/>
      <w:iCs/>
      <w:color w:val="5B9BD5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A44DEE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770EC0"/>
    <w:pPr>
      <w:ind w:left="720"/>
      <w:contextualSpacing/>
    </w:pPr>
  </w:style>
  <w:style w:type="table" w:styleId="Mriekatabuky">
    <w:name w:val="Table Grid"/>
    <w:basedOn w:val="Normlnatabuka"/>
    <w:uiPriority w:val="39"/>
    <w:rsid w:val="004B41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rsid w:val="003C6E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7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40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2D2D2"/>
                      </w:divBdr>
                      <w:divsChild>
                        <w:div w:id="1960258378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_VZORY\List%20ks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ks</Template>
  <TotalTime>2</TotalTime>
  <Pages>3</Pages>
  <Words>808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Zastupujúci klienta:  GATC s</vt:lpstr>
    </vt:vector>
  </TitlesOfParts>
  <Company>daňový poradca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Zastupujúci klienta:  GATC s</dc:title>
  <dc:subject/>
  <dc:creator>Karlik Tibor, Ing.</dc:creator>
  <cp:keywords/>
  <cp:lastModifiedBy>Tibor Karlik</cp:lastModifiedBy>
  <cp:revision>2</cp:revision>
  <cp:lastPrinted>2002-01-24T14:53:00Z</cp:lastPrinted>
  <dcterms:created xsi:type="dcterms:W3CDTF">2025-12-10T09:13:00Z</dcterms:created>
  <dcterms:modified xsi:type="dcterms:W3CDTF">2025-12-10T09:13:00Z</dcterms:modified>
</cp:coreProperties>
</file>