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02" w:rsidRDefault="00004F02" w:rsidP="00004F02">
      <w:pPr>
        <w:pStyle w:val="Nzov"/>
      </w:pPr>
      <w:bookmarkStart w:id="0" w:name="_GoBack"/>
      <w:bookmarkEnd w:id="0"/>
      <w:r>
        <w:t>Prevádzkareň zahraničnej osoby a DPH</w:t>
      </w:r>
    </w:p>
    <w:p w:rsid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Vzhľadom na rôzne postupy pri uplatňovaní ustanovenia § 4 ods. 7 zákona č. 222/2004 Z. z. o dani z pridanej hodnoty v znení neskorších predpisov (ďalej len „zákon o DPH“) Daňové riaditeľstvo SR vydáva usmernenie k uplatňovaniu citovaného ustanovenia zákona o DPH s cieľom zabezpečiť jednotný postup pri posudzovaní prevádzkarne na účely zákona o DPH. 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Podľa ustanovenia § 4 ods. 7 zákona o DPH sa prevádzkarňou rozumie stále miesto podnikania, ktoré má personálne a materiálne vybavenie potrebné na výkon podnikania. Z tejto definície vyplýva, že musí ísť o stále miesto podnikania, ktoré musí mať k dispozícii tak personálne ako aj materiálne vybavenie potrebné na vykonávanie ekonomickej činnosti z tohto miesta. 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Pri posudzovaní či organizačná zložka zahraničnej osoby spĺňa kritériá prevádzkarne, sa doteraz vychádzalo z názoru, že organizačná zložka zahraničnej osoby, ktorá je zapísaná v Obchodnom registri SR, je na účely zákona o DPH prevádzkarňou v SR. Zápis organizačnej zložky do obchodného registra sa považoval za to, že zahraničná osoba má záujem podnikať na území SR, a to prostredníctvom svojej organizačnej zložky podniku. Uvedený názor bol vyjadrený vo viacerých písomných stanoviskách a súčasne bol premietnutý aj v Metodickom pokyne č. 47/2/2006 na uplatňovanie zákona o DPH pri dodaní plynu a elektriny vydanom v roku 2006 v znení 1. dodatku zo dňa 12.11.2007. 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Vzhľadom na nejasnosť postupu pri posudzovaní problematiky prevádzkarne v kontexte rozsudkov Súdneho dvora Európskych spoločenstiev a na viaceré podnety poukazujúce na osobitný prístup Slovenskej republiky pri posudzovaní prevádzkarne, Daňové riaditeľstvo SR požiadalo Ministerstvo financií SR o prehodnotenie výkladu pojmu prevádzkareň v zmysle zákona o DPH. V tom smere, aby sa pri posudzovaní prevádzkarne na účely zákona o DPH ako jediné dôležité kritérium nebral do úvahy len samotný zápis organizačnej zložky zahraničnej osoby do Obchodného registra v SR, ale aby sa skúmali aj ďalšie faktory nevyhnutné pre existenciu prevádzkarne (nezávislé vykonávanie ekonomickej činnosti, personálne a materiálne vybavenie), čo má oporu aj v rozhodnutiach Súdneho dvora Európskych Spoločenstiev (ďalej len „ES“). 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Problematika prevádzkarne na účely dane z pridanej hodnoty je riešená vo viacerých rozhodnutiach Súdneho dvora ES, napr. vo veci C-168/84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Gunter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Berkholz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, C-190/95 ARO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Lease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, C-390/96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Lease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Plan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Luxembourg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, C-73/06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Planzer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Luxembourg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. V rozhodnutí C-190/95 ARO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Lease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 Súdny dvor ES konštatuje, že dôsledkom toho, aby sa prevádzkareň mohla účelne považovať, v rámci výnimky z prioritného kritéria sídla, za miesto poskytnutia služby zdaniteľnej osoby, musí na </w:t>
      </w:r>
      <w:r w:rsidRPr="00004F02">
        <w:rPr>
          <w:rFonts w:cstheme="minorHAnsi"/>
          <w:color w:val="000000"/>
          <w:sz w:val="28"/>
          <w:szCs w:val="24"/>
          <w:highlight w:val="yellow"/>
        </w:rPr>
        <w:t>dostatočnej úrovni zabezpečovať stálosť a organizáciu, ktorá z hľadiska ľudského a materiálneho vybavenia je schopná poskytovať predmetné služby samostatne</w:t>
      </w:r>
      <w:r w:rsidRPr="00004F02">
        <w:rPr>
          <w:rFonts w:cstheme="minorHAnsi"/>
          <w:b/>
          <w:bCs/>
          <w:color w:val="000000"/>
          <w:sz w:val="28"/>
          <w:szCs w:val="24"/>
          <w:highlight w:val="yellow"/>
        </w:rPr>
        <w:t>.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 </w:t>
      </w:r>
      <w:r w:rsidRPr="00004F02">
        <w:rPr>
          <w:rFonts w:cstheme="minorHAnsi"/>
          <w:color w:val="000000"/>
          <w:sz w:val="28"/>
          <w:szCs w:val="24"/>
        </w:rPr>
        <w:t xml:space="preserve">V </w:t>
      </w:r>
      <w:r w:rsidRPr="00004F02">
        <w:rPr>
          <w:rFonts w:cstheme="minorHAnsi"/>
          <w:color w:val="000000"/>
          <w:sz w:val="28"/>
          <w:szCs w:val="24"/>
        </w:rPr>
        <w:lastRenderedPageBreak/>
        <w:t xml:space="preserve">ďalšej časti uvedeného rozsudku Súdny dvor ES dospel k názoru, že ak leasingová spoločnosť (predmetom daného rozsudku je prenájom automobilov leasingovou spoločnosťou) nemá v členskom štáte ani vlastný personál, ani organizačnú zložku, ktorá na dostatočnej úrovni zabezpečuje stálosť, ktorá môže uzatvárať zmluvy alebo prijímať rozhodnutia o správe, a teda ktorá je schopná samostatne poskytovať predmetné služby, nemožno mať za to, že táto leasingová spoločnosť má stálu prevádzkareň v danom členskom štáte. V rozsudku C-390/96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Lease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Plan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, ktorý sa obdobne zaoberal prenájmom automobilov leasingovou spoločnosťou, bolo podobným spôsobom konštatované, že zriadenie odlišného sídla (prevádzkarne) od hlavného sídla podnikania je možné len v prípade, ak sa takéto sídlo vyznačuje dostatočným stupňom trvalosti a adekvátnou štruktúrou, z hľadiska ľudských a technických zdrojov, na dodávanie dotknutých služieb na nezávislom základe. Súdny dvor ES teda v predmetnom spore opäť dospel k názoru, že keď nemá leasingová spoločnosť v členskom štáte k dispozícii buď vlastný personál alebo štruktúru vyznačujúcu sa dostatočným stupňom trvalosti na poskytnutie rámca, v ktorom môžu byť zhotovené zmluvy alebo uskutočnené manažérske rozhodnutia, aby sa tým pádom zaručilo poskytovanie predmetných služieb na nezávislom základe, nemôže sa takáto spoločnosť považovať za spoločnosť so stálou prevádzkou v danom štáte. Dňa 28. 6. 2007 Súdny dvor ES rozhodoval aj o ďalšom spore, ktorým bol prípad C-73/06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Planzer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 </w:t>
      </w:r>
      <w:proofErr w:type="spellStart"/>
      <w:r w:rsidRPr="00004F02">
        <w:rPr>
          <w:rFonts w:cstheme="minorHAnsi"/>
          <w:color w:val="000000"/>
          <w:sz w:val="28"/>
          <w:szCs w:val="24"/>
        </w:rPr>
        <w:t>Luxembourg</w:t>
      </w:r>
      <w:proofErr w:type="spellEnd"/>
      <w:r w:rsidRPr="00004F02">
        <w:rPr>
          <w:rFonts w:cstheme="minorHAnsi"/>
          <w:color w:val="000000"/>
          <w:sz w:val="28"/>
          <w:szCs w:val="24"/>
        </w:rPr>
        <w:t xml:space="preserve">, v ktorom konštatuje, že v súlade s ustálenou judikatúrou v oblasti DPH pojem stála pobočka (prevádzkareň) vyžaduje minimálnu súdržnosť dosiahnutú spojením ľudských a technických prostriedkov, ktoré sú potrebné k poskytnutiu určitých služieb. </w:t>
      </w:r>
    </w:p>
    <w:p w:rsid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>Koncept prevádzkarne v súvislosti s dodávkami elektriny bol riešený na podnet Slovenskej republiky aj na zasadnutí Výboru pre DPH pri Európskej komisii. V zmysle záverov Výboru pre DPH, organizačná zložka zahraničnej osoby nepredstavuje automaticky prevádzkareň na účely dane z pridanej hodnoty. Ak má organizačná zložka spĺňať kritériá prevádzkarne pre účely dane z pridanej hodnoty, musí mať aj personálne aj materiálne vybavenie potrebné na výkon ekonomickej činno</w:t>
      </w:r>
      <w:r>
        <w:rPr>
          <w:rFonts w:cstheme="minorHAnsi"/>
          <w:color w:val="000000"/>
          <w:sz w:val="28"/>
          <w:szCs w:val="24"/>
        </w:rPr>
        <w:t xml:space="preserve">sti, z ktorej dosahuje príjem. </w:t>
      </w:r>
    </w:p>
    <w:p w:rsid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Na základe vyššie uvedených záverov Výboru pre DPH ako aj v zmysle rozsudkov Súdneho dvora ES, </w:t>
      </w:r>
      <w:r w:rsidRPr="00004F02">
        <w:rPr>
          <w:rFonts w:cstheme="minorHAnsi"/>
          <w:color w:val="000000"/>
          <w:sz w:val="28"/>
          <w:szCs w:val="24"/>
          <w:highlight w:val="yellow"/>
        </w:rPr>
        <w:t>ak má zahraničná osoba v tuzemsku zriadenú organizačnú zložku, ktorá je zapísaná v obchodnom registri, táto organizačná zložka automaticky nespĺňa kritériá prevádzkarne na účely zákona o DPH</w:t>
      </w:r>
      <w:r w:rsidRPr="00004F02">
        <w:rPr>
          <w:rFonts w:cstheme="minorHAnsi"/>
          <w:color w:val="000000"/>
          <w:sz w:val="28"/>
          <w:szCs w:val="24"/>
        </w:rPr>
        <w:t xml:space="preserve">. Ak má organizačná zložka spĺňať kritériá prevádzkarne na účely dane z pridanej hodnoty, je potrebné skúmať aj ďalšie faktory nevyhnutné pre existenciu prevádzkarne t.j. musí mať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personálne a materiálne vybavenie potrebné na výkon ekonomickej </w:t>
      </w:r>
      <w:r w:rsidRPr="00004F02">
        <w:rPr>
          <w:rFonts w:cstheme="minorHAnsi"/>
          <w:b/>
          <w:bCs/>
          <w:color w:val="000000"/>
          <w:sz w:val="28"/>
          <w:szCs w:val="24"/>
        </w:rPr>
        <w:lastRenderedPageBreak/>
        <w:t>činnosti v tuzemsku</w:t>
      </w:r>
      <w:r w:rsidRPr="00004F02">
        <w:rPr>
          <w:rFonts w:cstheme="minorHAnsi"/>
          <w:color w:val="000000"/>
          <w:sz w:val="28"/>
          <w:szCs w:val="24"/>
        </w:rPr>
        <w:t xml:space="preserve">. To znamená, že pod pojmom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prevádzkareň </w:t>
      </w:r>
      <w:r w:rsidRPr="00004F02">
        <w:rPr>
          <w:rFonts w:cstheme="minorHAnsi"/>
          <w:color w:val="000000"/>
          <w:sz w:val="28"/>
          <w:szCs w:val="24"/>
        </w:rPr>
        <w:t xml:space="preserve">v zmysle § 4 ods. 7 zákona o DPH je potrebné rozumieť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stále miesto </w:t>
      </w:r>
      <w:r w:rsidRPr="00004F02">
        <w:rPr>
          <w:rFonts w:cstheme="minorHAnsi"/>
          <w:color w:val="000000"/>
          <w:sz w:val="28"/>
          <w:szCs w:val="24"/>
        </w:rPr>
        <w:t xml:space="preserve">vykonávania samostatnej a nezávislej ekonomickej činnosti, z ktorej sa dosahuje príjem (vykonávanie </w:t>
      </w:r>
      <w:r w:rsidRPr="00004F02">
        <w:rPr>
          <w:rFonts w:cstheme="minorHAnsi"/>
          <w:b/>
          <w:bCs/>
          <w:color w:val="000000"/>
          <w:sz w:val="28"/>
          <w:szCs w:val="24"/>
        </w:rPr>
        <w:t>činnosti na pokračujúcej báze resp. opakovane</w:t>
      </w:r>
      <w:r w:rsidRPr="00004F02">
        <w:rPr>
          <w:rFonts w:cstheme="minorHAnsi"/>
          <w:color w:val="000000"/>
          <w:sz w:val="28"/>
          <w:szCs w:val="24"/>
        </w:rPr>
        <w:t xml:space="preserve">) a ktoré disponuje na jednej strane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materiálnym vybavením </w:t>
      </w:r>
      <w:r w:rsidRPr="00004F02">
        <w:rPr>
          <w:rFonts w:cstheme="minorHAnsi"/>
          <w:color w:val="000000"/>
          <w:sz w:val="28"/>
          <w:szCs w:val="24"/>
        </w:rPr>
        <w:t xml:space="preserve">potrebným na vykonávanie ekonomickej činnosti z tohto miesta (napr. kancelárske priestory, v ktorých alebo z ktorých poskytuje svoje plnenia) a na strane druhej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personálnym vybavením </w:t>
      </w:r>
      <w:r w:rsidRPr="00004F02">
        <w:rPr>
          <w:rFonts w:cstheme="minorHAnsi"/>
          <w:color w:val="000000"/>
          <w:sz w:val="28"/>
          <w:szCs w:val="24"/>
        </w:rPr>
        <w:t xml:space="preserve">(personál resp. zamestnanci, ktorí sú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stále k dispozícii </w:t>
      </w:r>
      <w:r w:rsidRPr="00004F02">
        <w:rPr>
          <w:rFonts w:cstheme="minorHAnsi"/>
          <w:color w:val="000000"/>
          <w:sz w:val="28"/>
          <w:szCs w:val="24"/>
        </w:rPr>
        <w:t>na uvedenom mieste) potrebným na vykonávanie uvedenej ekonomickej činnosti z tohto miesta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. </w:t>
      </w:r>
      <w:r w:rsidRPr="00004F02">
        <w:rPr>
          <w:rFonts w:cstheme="minorHAnsi"/>
          <w:color w:val="000000"/>
          <w:sz w:val="28"/>
          <w:szCs w:val="24"/>
        </w:rPr>
        <w:t xml:space="preserve">Uvedené skutočnosti, ako už bolo uvedené vyššie, potvrdzujú aj rozsudky Súdneho dvora ES, v zmysle ktorých, na to aby sa prevádzkareň mohla považovať za miesto poskytnutia služby, musí na dostatočnej úrovni zabezpečovať </w:t>
      </w:r>
      <w:r w:rsidRPr="00004F02">
        <w:rPr>
          <w:rFonts w:cstheme="minorHAnsi"/>
          <w:b/>
          <w:bCs/>
          <w:color w:val="000000"/>
          <w:sz w:val="28"/>
          <w:szCs w:val="24"/>
        </w:rPr>
        <w:t>stálosť a organizáciu (dostatočný stupeň trvalosti)</w:t>
      </w:r>
      <w:r w:rsidRPr="00004F02">
        <w:rPr>
          <w:rFonts w:cstheme="minorHAnsi"/>
          <w:color w:val="000000"/>
          <w:sz w:val="28"/>
          <w:szCs w:val="24"/>
        </w:rPr>
        <w:t xml:space="preserve">, ktorá z hľadiska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ľudského a materiálneho </w:t>
      </w:r>
      <w:r w:rsidRPr="00004F02">
        <w:rPr>
          <w:rFonts w:cstheme="minorHAnsi"/>
          <w:color w:val="000000"/>
          <w:sz w:val="28"/>
          <w:szCs w:val="24"/>
        </w:rPr>
        <w:t xml:space="preserve">vybavenia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je schopná </w:t>
      </w:r>
      <w:r w:rsidRPr="00004F02">
        <w:rPr>
          <w:rFonts w:cstheme="minorHAnsi"/>
          <w:color w:val="000000"/>
          <w:sz w:val="28"/>
          <w:szCs w:val="24"/>
        </w:rPr>
        <w:t xml:space="preserve">poskytovať predmetné služby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samostatne </w:t>
      </w:r>
      <w:r w:rsidRPr="00004F02">
        <w:rPr>
          <w:rFonts w:cstheme="minorHAnsi"/>
          <w:color w:val="000000"/>
          <w:sz w:val="28"/>
          <w:szCs w:val="24"/>
        </w:rPr>
        <w:t>(tzn. schopnosť resp. možnosť z uvedeného miesta uzatvárať a vyhotovovať zmluvy, uskutočňovať manažérske rozhodnutia, dojednávať obchody, prijímať platby, vykonávať konkrétnu ekonomickú činnosť, atď.) Pritom musí ísť o ekonomickú činnosť, z ktorej sa dosahuje príjem, teda nie činnosť vykonávanú napr. len pre svojho zriaďovateľa so sídlom v zahraničí. Aj keď sa v uvedených rozsudkoch Súdneho dvora ES pojednáva o službe, tie isté kritériá sa vzťahujú aj na dodanie tovaru, ak má dodanie tovaru uskutočniť zahraničná osoba prostr</w:t>
      </w:r>
      <w:r>
        <w:rPr>
          <w:rFonts w:cstheme="minorHAnsi"/>
          <w:color w:val="000000"/>
          <w:sz w:val="28"/>
          <w:szCs w:val="24"/>
        </w:rPr>
        <w:t xml:space="preserve">edníctvom svojej prevádzkarne. 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Na základe vyššie uvedených skutočností, ak má organizačná zložka zahraničnej osoby personálne a materiálne vybavenie na to, aby mohla v tuzemsku vykonávať samostatnú ekonomickú činnosť, z ktorej sa dosahuje príjem,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spĺňa </w:t>
      </w:r>
      <w:r w:rsidRPr="00004F02">
        <w:rPr>
          <w:rFonts w:cstheme="minorHAnsi"/>
          <w:color w:val="000000"/>
          <w:sz w:val="28"/>
          <w:szCs w:val="24"/>
        </w:rPr>
        <w:t xml:space="preserve">kritériá prevádzkarne na účely dane z pridanej hodnoty. V takomto prípade sa na uvedenú osobu vzťahuje registračná povinnosť podľa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§ 4 zákona </w:t>
      </w:r>
      <w:r w:rsidRPr="00004F02">
        <w:rPr>
          <w:rFonts w:cstheme="minorHAnsi"/>
          <w:color w:val="000000"/>
          <w:sz w:val="28"/>
          <w:szCs w:val="24"/>
        </w:rPr>
        <w:t xml:space="preserve">o DPH, t.j. registrácia zdaniteľnej osoby, ktorá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má </w:t>
      </w:r>
      <w:r w:rsidRPr="00004F02">
        <w:rPr>
          <w:rFonts w:cstheme="minorHAnsi"/>
          <w:color w:val="000000"/>
          <w:sz w:val="28"/>
          <w:szCs w:val="24"/>
        </w:rPr>
        <w:t xml:space="preserve">v tuzemsku sídlo, miesto podnikania alebo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prevádzkareň </w:t>
      </w:r>
      <w:r w:rsidRPr="00004F02">
        <w:rPr>
          <w:rFonts w:cstheme="minorHAnsi"/>
          <w:color w:val="000000"/>
          <w:sz w:val="28"/>
          <w:szCs w:val="24"/>
        </w:rPr>
        <w:t xml:space="preserve">(registruje ju miestne príslušný daňový úrad). V opačnom prípade, teda ak právnická alebo fyzická osoba, ktorá podniká v zahraničí,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nespĺňa </w:t>
      </w:r>
      <w:r w:rsidRPr="00004F02">
        <w:rPr>
          <w:rFonts w:cstheme="minorHAnsi"/>
          <w:color w:val="000000"/>
          <w:sz w:val="28"/>
          <w:szCs w:val="24"/>
        </w:rPr>
        <w:t xml:space="preserve">v tuzemsku kritériá prevádzkarne na účely dane z pridanej hodnoty (a nemá v tuzemsku ani sídlo, ani miesto podnikania) a začne v tuzemsku vykonávať činnosť, ktorá je predmetom dane, je táto osoba povinná registrovať sa podľa </w:t>
      </w:r>
      <w:r w:rsidRPr="00004F02">
        <w:rPr>
          <w:rFonts w:cstheme="minorHAnsi"/>
          <w:b/>
          <w:bCs/>
          <w:color w:val="000000"/>
          <w:sz w:val="28"/>
          <w:szCs w:val="24"/>
          <w:highlight w:val="yellow"/>
        </w:rPr>
        <w:t>§ 5</w:t>
      </w:r>
      <w:r w:rsidRPr="00004F02">
        <w:rPr>
          <w:rFonts w:cstheme="minorHAnsi"/>
          <w:b/>
          <w:bCs/>
          <w:color w:val="000000"/>
          <w:sz w:val="28"/>
          <w:szCs w:val="24"/>
          <w:highlight w:val="yellow"/>
        </w:rPr>
        <w:t xml:space="preserve"> </w:t>
      </w:r>
      <w:r w:rsidRPr="00004F02">
        <w:rPr>
          <w:rFonts w:cstheme="minorHAnsi"/>
          <w:b/>
          <w:bCs/>
          <w:color w:val="000000"/>
          <w:sz w:val="28"/>
          <w:szCs w:val="24"/>
          <w:highlight w:val="yellow"/>
        </w:rPr>
        <w:t>zákona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 </w:t>
      </w:r>
      <w:r w:rsidRPr="00004F02">
        <w:rPr>
          <w:rFonts w:cstheme="minorHAnsi"/>
          <w:color w:val="000000"/>
          <w:sz w:val="28"/>
          <w:szCs w:val="24"/>
        </w:rPr>
        <w:t xml:space="preserve">o DPH na Daňovom úrade Bratislava I (bez ohľadu na výšku obratu). </w:t>
      </w:r>
    </w:p>
    <w:p w:rsid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Vzhľadom na nejednoznačné príp. rôzne postupy pri posudzovaní prevádzkarne v zmysle zákona o DPH odporúčame v zmysle vyššie uvedeného výkladu pojmu prevádzkareň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prehodnotiť súčasnú registráciu vykonanú podľa </w:t>
      </w:r>
      <w:r w:rsidRPr="00004F02">
        <w:rPr>
          <w:rFonts w:cstheme="minorHAnsi"/>
          <w:b/>
          <w:bCs/>
          <w:color w:val="000000"/>
          <w:sz w:val="28"/>
          <w:szCs w:val="24"/>
          <w:highlight w:val="yellow"/>
        </w:rPr>
        <w:t>§ 4 zákona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 o DPH resp. preskúmať postavenie zdaniteľných osôb v tuzemsku </w:t>
      </w:r>
      <w:r w:rsidRPr="00004F02">
        <w:rPr>
          <w:rFonts w:cstheme="minorHAnsi"/>
          <w:color w:val="000000"/>
          <w:sz w:val="28"/>
          <w:szCs w:val="24"/>
        </w:rPr>
        <w:t xml:space="preserve">a v prípade potreby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vykonať zmenu registrácie </w:t>
      </w:r>
      <w:r w:rsidRPr="00004F02">
        <w:rPr>
          <w:rFonts w:cstheme="minorHAnsi"/>
          <w:color w:val="000000"/>
          <w:sz w:val="28"/>
          <w:szCs w:val="24"/>
        </w:rPr>
        <w:t xml:space="preserve">z miestne príslušného daňového </w:t>
      </w:r>
      <w:r w:rsidRPr="00004F02">
        <w:rPr>
          <w:rFonts w:cstheme="minorHAnsi"/>
          <w:color w:val="000000"/>
          <w:sz w:val="28"/>
          <w:szCs w:val="24"/>
        </w:rPr>
        <w:lastRenderedPageBreak/>
        <w:t>úradu (registrácia podľa § 4 zákona o DPH) na Daňový úrad Bratislava I (registrácia podľa § 5 zákona o DPH), alebo aj naopak.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Na záver uvádzame, že v súvislosti s prehodnotením pojmu prevádzkareň na účely dane z pridanej hodnoty bol v roku 2009 upravený aj Metodický pokyn č. 24/2/2009 k uplatňovaniu zákona o DPH pri dodaní plynu a elektriny. 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jc w:val="both"/>
        <w:rPr>
          <w:rFonts w:cstheme="minorHAnsi"/>
          <w:b/>
          <w:bCs/>
          <w:color w:val="000000"/>
          <w:sz w:val="28"/>
          <w:szCs w:val="24"/>
        </w:rPr>
      </w:pPr>
      <w:r w:rsidRPr="00004F02">
        <w:rPr>
          <w:rFonts w:cstheme="minorHAnsi"/>
          <w:color w:val="000000"/>
          <w:sz w:val="28"/>
          <w:szCs w:val="24"/>
        </w:rPr>
        <w:t xml:space="preserve">V zmysle vyššie uvedeného, je potrebné pojem prevádzkareň </w:t>
      </w:r>
      <w:r w:rsidRPr="00004F02">
        <w:rPr>
          <w:rFonts w:cstheme="minorHAnsi"/>
          <w:b/>
          <w:bCs/>
          <w:color w:val="000000"/>
          <w:sz w:val="28"/>
          <w:szCs w:val="24"/>
        </w:rPr>
        <w:t xml:space="preserve">posudzovať jednotne od zverejnenia tohto usmernenia na internetovej stránke Daňového riaditeľstva SR. 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rPr>
          <w:rFonts w:cstheme="minorHAnsi"/>
          <w:i/>
          <w:iCs/>
          <w:color w:val="000000"/>
          <w:sz w:val="28"/>
          <w:szCs w:val="24"/>
        </w:rPr>
      </w:pPr>
      <w:r w:rsidRPr="00004F02">
        <w:rPr>
          <w:rFonts w:cstheme="minorHAnsi"/>
          <w:i/>
          <w:iCs/>
          <w:color w:val="000000"/>
          <w:sz w:val="28"/>
          <w:szCs w:val="24"/>
        </w:rPr>
        <w:t xml:space="preserve">Vydalo : Daňové riaditeľstvo SR, Banská Bystrica, 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rPr>
          <w:rFonts w:cstheme="minorHAnsi"/>
          <w:i/>
          <w:iCs/>
          <w:color w:val="000000"/>
          <w:sz w:val="28"/>
          <w:szCs w:val="24"/>
        </w:rPr>
      </w:pPr>
      <w:r w:rsidRPr="00004F02">
        <w:rPr>
          <w:rFonts w:cstheme="minorHAnsi"/>
          <w:i/>
          <w:iCs/>
          <w:color w:val="000000"/>
          <w:sz w:val="28"/>
          <w:szCs w:val="24"/>
        </w:rPr>
        <w:t xml:space="preserve">odbor metodiky daní, </w:t>
      </w:r>
    </w:p>
    <w:p w:rsidR="00004F02" w:rsidRPr="00004F02" w:rsidRDefault="00004F02" w:rsidP="00004F02">
      <w:pPr>
        <w:autoSpaceDE w:val="0"/>
        <w:autoSpaceDN w:val="0"/>
        <w:adjustRightInd w:val="0"/>
        <w:spacing w:before="240" w:after="0" w:line="240" w:lineRule="auto"/>
        <w:ind w:left="-23"/>
        <w:rPr>
          <w:rFonts w:cstheme="minorHAnsi"/>
          <w:i/>
          <w:iCs/>
          <w:color w:val="000000"/>
          <w:sz w:val="28"/>
          <w:szCs w:val="24"/>
        </w:rPr>
      </w:pPr>
      <w:r w:rsidRPr="00004F02">
        <w:rPr>
          <w:rFonts w:cstheme="minorHAnsi"/>
          <w:i/>
          <w:iCs/>
          <w:color w:val="000000"/>
          <w:sz w:val="28"/>
          <w:szCs w:val="24"/>
        </w:rPr>
        <w:t xml:space="preserve">júl 2009 </w:t>
      </w:r>
    </w:p>
    <w:p w:rsidR="00A028A4" w:rsidRPr="00004F02" w:rsidRDefault="00004F02" w:rsidP="00004F02">
      <w:pPr>
        <w:spacing w:before="120" w:after="120"/>
        <w:rPr>
          <w:rFonts w:cstheme="minorHAnsi"/>
          <w:sz w:val="24"/>
        </w:rPr>
      </w:pPr>
    </w:p>
    <w:sectPr w:rsidR="00A028A4" w:rsidRPr="00004F02" w:rsidSect="00AC44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02"/>
    <w:rsid w:val="00004F02"/>
    <w:rsid w:val="00127896"/>
    <w:rsid w:val="00D8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004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04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004F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004F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 Karlik</dc:creator>
  <cp:lastModifiedBy>Tibor Karlik</cp:lastModifiedBy>
  <cp:revision>1</cp:revision>
  <cp:lastPrinted>2014-09-22T10:42:00Z</cp:lastPrinted>
  <dcterms:created xsi:type="dcterms:W3CDTF">2014-09-22T10:41:00Z</dcterms:created>
  <dcterms:modified xsi:type="dcterms:W3CDTF">2014-09-22T10:49:00Z</dcterms:modified>
</cp:coreProperties>
</file>