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52" w:rsidRPr="008620D1" w:rsidRDefault="00780652" w:rsidP="00780652">
      <w:pPr>
        <w:jc w:val="center"/>
        <w:rPr>
          <w:rFonts w:asciiTheme="minorHAnsi" w:hAnsiTheme="minorHAnsi" w:cs="Calibri"/>
          <w:b/>
          <w:bCs/>
          <w:caps/>
          <w:color w:val="0070C0"/>
          <w:szCs w:val="24"/>
          <w:lang w:eastAsia="sk-SK"/>
        </w:rPr>
      </w:pPr>
      <w:bookmarkStart w:id="0" w:name="_GoBack"/>
      <w:bookmarkEnd w:id="0"/>
      <w:r w:rsidRPr="008620D1">
        <w:rPr>
          <w:rFonts w:asciiTheme="minorHAnsi" w:hAnsiTheme="minorHAnsi" w:cs="Calibri"/>
          <w:b/>
          <w:bCs/>
          <w:caps/>
          <w:color w:val="0070C0"/>
          <w:szCs w:val="24"/>
          <w:lang w:eastAsia="sk-SK"/>
        </w:rPr>
        <w:t xml:space="preserve">SLUŽBy, na ktoré sa vzťahuje povinnosť EVIDENCIE TRŽIEB  V ELEKTRoNICKEJ REGISTRAČNEJ POKLADNICI </w:t>
      </w:r>
    </w:p>
    <w:p w:rsidR="00780652" w:rsidRPr="008620D1" w:rsidRDefault="00780652" w:rsidP="00780652">
      <w:pPr>
        <w:jc w:val="center"/>
        <w:rPr>
          <w:rFonts w:asciiTheme="minorHAnsi" w:hAnsiTheme="minorHAnsi" w:cs="Calibri"/>
          <w:b/>
          <w:bCs/>
          <w:caps/>
          <w:color w:val="0070C0"/>
          <w:szCs w:val="24"/>
          <w:lang w:eastAsia="sk-SK"/>
        </w:rPr>
      </w:pPr>
      <w:r w:rsidRPr="008620D1">
        <w:rPr>
          <w:rFonts w:asciiTheme="minorHAnsi" w:hAnsiTheme="minorHAnsi" w:cs="Calibri"/>
          <w:b/>
          <w:bCs/>
          <w:color w:val="0070C0"/>
          <w:szCs w:val="24"/>
        </w:rPr>
        <w:t>ALEBO VO VIRTUÁLNEJ REGISTRAČNEJ POKLADNICI</w:t>
      </w:r>
    </w:p>
    <w:p w:rsidR="00780652" w:rsidRPr="008620D1" w:rsidRDefault="00780652" w:rsidP="00780652">
      <w:pPr>
        <w:jc w:val="both"/>
        <w:rPr>
          <w:rFonts w:asciiTheme="minorHAnsi" w:hAnsiTheme="minorHAnsi" w:cs="Calibri"/>
          <w:b/>
          <w:bCs/>
          <w:caps/>
          <w:color w:val="0070C0"/>
          <w:szCs w:val="24"/>
          <w:lang w:eastAsia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842"/>
      </w:tblGrid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 xml:space="preserve">45.20   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 xml:space="preserve">Oprava a údržba motorových vozidiel 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45.40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Predaj, údržba a oprava motocyklov a ich dielov a príslušenstva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49.32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Taxislužba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49.39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Ostatná osobná pozemná doprava i. n., a to len pri prevádzke lanoviek, pozemných lanoviek, lyžiarskych vlekov, ak nie sú súčasťou mestských, prímestských alebo veľkomestských prepravných systémov</w:t>
            </w:r>
          </w:p>
        </w:tc>
      </w:tr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 xml:space="preserve">52.21       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Vedľajšie činnosti v pozemnej doprave, a to len pri prevádzke parkovacích priestorov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55.10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  <w:t>Hotelové a podobné ubytovanie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55.20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rPr>
                <w:rFonts w:asciiTheme="minorHAnsi" w:hAnsiTheme="minorHAnsi" w:cs="Calibri"/>
                <w:bCs/>
                <w:color w:val="0070C0"/>
                <w:szCs w:val="24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  <w:t>Turistické a iné krátkodobé ubytovanie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55.30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  <w:t>Autokempingy, táboriská a miesta pre karavány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55.90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  <w:t>Ostatné ubytovanie</w:t>
            </w:r>
          </w:p>
        </w:tc>
      </w:tr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56.10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 xml:space="preserve">Reštauračné činnosti a mobilný predaj jedál </w:t>
            </w:r>
          </w:p>
        </w:tc>
      </w:tr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56.21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 xml:space="preserve">Dodávka jedál </w:t>
            </w:r>
          </w:p>
        </w:tc>
      </w:tr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56.29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 xml:space="preserve">Ostatné jedálenské služby </w:t>
            </w:r>
          </w:p>
        </w:tc>
      </w:tr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56.30</w:t>
            </w:r>
          </w:p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</w:rPr>
            </w:pPr>
            <w:r w:rsidRPr="008620D1">
              <w:rPr>
                <w:rFonts w:asciiTheme="minorHAnsi" w:hAnsiTheme="minorHAnsi" w:cs="Calibri"/>
                <w:color w:val="0070C0"/>
              </w:rPr>
              <w:t>65.11</w:t>
            </w:r>
          </w:p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</w:rPr>
              <w:t>65.12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Služby pohostinstiev</w:t>
            </w:r>
          </w:p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</w:rPr>
            </w:pPr>
            <w:r w:rsidRPr="008620D1">
              <w:rPr>
                <w:rFonts w:asciiTheme="minorHAnsi" w:hAnsiTheme="minorHAnsi" w:cs="Calibri"/>
                <w:color w:val="0070C0"/>
              </w:rPr>
              <w:t>Životné poistenie</w:t>
            </w:r>
          </w:p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</w:rPr>
              <w:t>Neživotné poistenie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69.10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Právne činnosti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69.20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  <w:t>Účtovnícke a audítorské činnosti, vedenie účtovných kníh; daňové poradenstvo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70.10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  <w:t>Vedenie firiem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70.21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  <w:t xml:space="preserve">Služby v oblasti styku a komunikácie s verejnosťou 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70.22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  <w:t>Poradenské služby v oblasti podnikania a riadenia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71.11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  <w:t xml:space="preserve">Architektonické činnosti 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71.12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  <w:t>Inžinierske činnosti a súvisiace technické poradenstvo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71.20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  <w:t>Technické testovanie a analýzy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73.11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  <w:t>Reklamné agentúry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73.12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  <w:t>Predaj vysielacieho času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73.20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  <w:t>Prieskum trhu a verejnej mienky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74.10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  <w:t>Špecializované dizajnérske činnosti</w:t>
            </w:r>
          </w:p>
        </w:tc>
      </w:tr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74.20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 xml:space="preserve">Fotografické činnosti 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74.30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Prekladateľské a tlmočnícke činnosti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75.00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rPr>
                <w:rFonts w:asciiTheme="minorHAnsi" w:hAnsiTheme="minorHAnsi" w:cs="Calibri"/>
                <w:bCs/>
                <w:color w:val="0070C0"/>
                <w:szCs w:val="24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  <w:t>Veterinárne činnosti</w:t>
            </w:r>
          </w:p>
        </w:tc>
      </w:tr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77.11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Prenájom a lízing automobilov a ľahkých motorových vozidiel okrem  prenájmu podľa zmluvy o kúpe prenajatej veci</w:t>
            </w:r>
          </w:p>
        </w:tc>
      </w:tr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77.21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Prenájom a lízing rekreačných a športových potrieb okrem prenájmu podľa zmluvy o kúpe prenajatej veci</w:t>
            </w:r>
          </w:p>
        </w:tc>
      </w:tr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77.22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Prenájom videopások a diskov okrem prenájmu podľa zmluvy o kúpe prenajatej veci</w:t>
            </w:r>
          </w:p>
        </w:tc>
      </w:tr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77.29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Prenájom a lízing ostatných osobných potrieb a potrieb pre domácnosť okrem  prenájmu podľa zmluvy o kúpe prenajatej veci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78.10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  <w:t>Činnosti agentúr sprostredkujúcich zamestnania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78.20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  <w:t>Činnosti agentúr sprostredkujúcich zamestnanie na dobu určitú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78.30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rPr>
                <w:rFonts w:asciiTheme="minorHAnsi" w:hAnsiTheme="minorHAnsi" w:cs="Calibri"/>
                <w:bCs/>
                <w:color w:val="0070C0"/>
                <w:szCs w:val="24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  <w:t>Ostatné poskytovanie ľudských zdrojov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79.11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 xml:space="preserve">Činnosti cestovných agentúr 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79.12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Činnosti cestovných kancelárií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79.90</w:t>
            </w:r>
          </w:p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</w:rPr>
            </w:pPr>
            <w:r w:rsidRPr="008620D1">
              <w:rPr>
                <w:rFonts w:asciiTheme="minorHAnsi" w:hAnsiTheme="minorHAnsi" w:cs="Calibri"/>
                <w:color w:val="0070C0"/>
              </w:rPr>
              <w:t>80.10</w:t>
            </w:r>
          </w:p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</w:rPr>
            </w:pPr>
            <w:r w:rsidRPr="008620D1">
              <w:rPr>
                <w:rFonts w:asciiTheme="minorHAnsi" w:hAnsiTheme="minorHAnsi" w:cs="Calibri"/>
                <w:color w:val="0070C0"/>
              </w:rPr>
              <w:t>80.20</w:t>
            </w:r>
          </w:p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</w:rPr>
              <w:t>80.30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Ostatné rezervačné služby a súvisiace činnosti</w:t>
            </w:r>
          </w:p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</w:rPr>
            </w:pPr>
            <w:r w:rsidRPr="008620D1">
              <w:rPr>
                <w:rFonts w:asciiTheme="minorHAnsi" w:hAnsiTheme="minorHAnsi" w:cs="Calibri"/>
                <w:color w:val="0070C0"/>
              </w:rPr>
              <w:t>Súkromné bezpečnostné služby</w:t>
            </w:r>
          </w:p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</w:rPr>
            </w:pPr>
            <w:r w:rsidRPr="008620D1">
              <w:rPr>
                <w:rFonts w:asciiTheme="minorHAnsi" w:hAnsiTheme="minorHAnsi" w:cs="Calibri"/>
                <w:color w:val="0070C0"/>
              </w:rPr>
              <w:t>Služby spojené s prevádzkovaním bezpečnostných systémov</w:t>
            </w:r>
          </w:p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</w:rPr>
              <w:t>Pátracie služby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lastRenderedPageBreak/>
              <w:t>86.10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Činnosti nemocníc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86.21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rPr>
                <w:rFonts w:asciiTheme="minorHAnsi" w:hAnsiTheme="minorHAnsi" w:cs="Calibri"/>
                <w:bCs/>
                <w:color w:val="0070C0"/>
                <w:szCs w:val="24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  <w:t>Činnosti všeobecnej lekárskej praxe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86.22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  <w:t>Činnosti špeciálnej lekárskej praxe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86.23</w:t>
            </w:r>
          </w:p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</w:rPr>
              <w:t>86.90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  <w:t>Zubná lekárska prax</w:t>
            </w:r>
          </w:p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</w:rPr>
              <w:t>Ostatná zdravotná starostlivosť</w:t>
            </w:r>
          </w:p>
        </w:tc>
      </w:tr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93.11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 xml:space="preserve">Prevádzka športových zariadení 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93.12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Činnosti športových klubov</w:t>
            </w:r>
          </w:p>
        </w:tc>
      </w:tr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93.13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 xml:space="preserve">Fitnescentrá </w:t>
            </w:r>
          </w:p>
        </w:tc>
      </w:tr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93.21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Činnosti lunaparkov a zábavných parkov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95.11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rPr>
                <w:rFonts w:asciiTheme="minorHAnsi" w:hAnsiTheme="minorHAnsi" w:cs="Calibri"/>
                <w:bCs/>
                <w:color w:val="0070C0"/>
                <w:szCs w:val="24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  <w:t>Oprava počítačov a periférnych zariadení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95.12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rPr>
                <w:rFonts w:asciiTheme="minorHAnsi" w:hAnsiTheme="minorHAnsi" w:cs="Calibri"/>
                <w:bCs/>
                <w:color w:val="0070C0"/>
                <w:szCs w:val="24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  <w:t>Oprava komunikačných zariadení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95.21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rPr>
                <w:rFonts w:asciiTheme="minorHAnsi" w:hAnsiTheme="minorHAnsi" w:cs="Calibri"/>
                <w:bCs/>
                <w:color w:val="0070C0"/>
                <w:szCs w:val="24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  <w:t>Oprava spotrebnej elektroniky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95.22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  <w:t xml:space="preserve">Oprava domácich zariadení a zariadení pre dom a záhradu 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95.23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  <w:t>Oprava obuvi a koženého tovaru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95.24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  <w:t>Oprava nábytku a domácich zariadení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95.25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  <w:t>Oprava hodín, hodiniek a šperkov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95.29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</w:rPr>
              <w:t>Oprava iných osobných potrieb a potrieb pre domácnosti</w:t>
            </w:r>
          </w:p>
        </w:tc>
      </w:tr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96.01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 xml:space="preserve">Pranie a chemické čistenie textilných a kožušinových výrobkov okrem požičiavania bielizne, pracovných odevov, vecí súvisiacich s práčovňou, dodávky plienok a poskytovania pracích a čistiacich služieb u zákazníka </w:t>
            </w:r>
          </w:p>
        </w:tc>
      </w:tr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96.02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Kadernícke a kozmetické služby</w:t>
            </w:r>
          </w:p>
        </w:tc>
      </w:tr>
      <w:tr w:rsidR="00780652" w:rsidRPr="008620D1" w:rsidTr="00D73100">
        <w:tc>
          <w:tcPr>
            <w:tcW w:w="1368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96.03</w:t>
            </w:r>
          </w:p>
        </w:tc>
        <w:tc>
          <w:tcPr>
            <w:tcW w:w="7842" w:type="dxa"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bCs/>
                <w:noProof/>
                <w:color w:val="0070C0"/>
                <w:szCs w:val="24"/>
                <w:lang w:eastAsia="cs-CZ"/>
              </w:rPr>
              <w:t>Pohrebné a súvisiace služby</w:t>
            </w:r>
          </w:p>
        </w:tc>
      </w:tr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96.04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 xml:space="preserve">Služby týkajúce sa telesnej pohody </w:t>
            </w:r>
          </w:p>
        </w:tc>
      </w:tr>
      <w:tr w:rsidR="00780652" w:rsidRPr="008620D1" w:rsidTr="00D73100">
        <w:tc>
          <w:tcPr>
            <w:tcW w:w="1368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96.09</w:t>
            </w:r>
          </w:p>
        </w:tc>
        <w:tc>
          <w:tcPr>
            <w:tcW w:w="7842" w:type="dxa"/>
            <w:hideMark/>
          </w:tcPr>
          <w:p w:rsidR="00780652" w:rsidRPr="008620D1" w:rsidRDefault="00780652" w:rsidP="00D73100">
            <w:pPr>
              <w:jc w:val="both"/>
              <w:rPr>
                <w:rFonts w:asciiTheme="minorHAnsi" w:hAnsiTheme="minorHAnsi" w:cs="Calibri"/>
                <w:bCs/>
                <w:color w:val="0070C0"/>
                <w:szCs w:val="24"/>
                <w:lang w:eastAsia="cs-CZ"/>
              </w:rPr>
            </w:pP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Ostatné osobné služby, a to len</w:t>
            </w:r>
            <w:r w:rsidRPr="008620D1">
              <w:rPr>
                <w:rFonts w:asciiTheme="minorHAnsi" w:hAnsiTheme="minorHAnsi" w:cs="Calibri"/>
                <w:color w:val="0070C0"/>
              </w:rPr>
              <w:t xml:space="preserve"> </w:t>
            </w:r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pri strihaní psov, pri opatrovateľských službách domácich zvierat, pri činnosti hotelov pre zvieratá, pri službách svadobných kancelárií a pri činnosti štúdií poskytujúcich tetovanie a </w:t>
            </w:r>
            <w:proofErr w:type="spellStart"/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piercing</w:t>
            </w:r>
            <w:proofErr w:type="spellEnd"/>
            <w:r w:rsidRPr="008620D1">
              <w:rPr>
                <w:rFonts w:asciiTheme="minorHAnsi" w:hAnsiTheme="minorHAnsi" w:cs="Calibri"/>
                <w:color w:val="0070C0"/>
                <w:szCs w:val="24"/>
                <w:lang w:eastAsia="cs-CZ"/>
              </w:rPr>
              <w:t>.“.</w:t>
            </w:r>
          </w:p>
        </w:tc>
      </w:tr>
    </w:tbl>
    <w:p w:rsidR="00780652" w:rsidRPr="008620D1" w:rsidRDefault="00780652" w:rsidP="00780652">
      <w:pPr>
        <w:jc w:val="both"/>
        <w:rPr>
          <w:rFonts w:asciiTheme="minorHAnsi" w:hAnsiTheme="minorHAnsi" w:cs="Calibri"/>
          <w:bCs/>
          <w:color w:val="0070C0"/>
          <w:szCs w:val="24"/>
          <w:lang w:eastAsia="sk-SK"/>
        </w:rPr>
      </w:pPr>
    </w:p>
    <w:p w:rsidR="00A028A4" w:rsidRDefault="00780652"/>
    <w:sectPr w:rsidR="00A0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52"/>
    <w:rsid w:val="00127896"/>
    <w:rsid w:val="00780652"/>
    <w:rsid w:val="00D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652"/>
    <w:pPr>
      <w:spacing w:after="0" w:line="240" w:lineRule="auto"/>
    </w:pPr>
    <w:rPr>
      <w:rFonts w:ascii="Arial Narrow" w:eastAsia="Times New Roman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652"/>
    <w:pPr>
      <w:spacing w:after="0" w:line="240" w:lineRule="auto"/>
    </w:pPr>
    <w:rPr>
      <w:rFonts w:ascii="Arial Narrow" w:eastAsia="Times New Roman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Karlik</dc:creator>
  <cp:lastModifiedBy>Tibor Karlik</cp:lastModifiedBy>
  <cp:revision>1</cp:revision>
  <dcterms:created xsi:type="dcterms:W3CDTF">2014-11-04T16:31:00Z</dcterms:created>
  <dcterms:modified xsi:type="dcterms:W3CDTF">2014-11-04T16:32:00Z</dcterms:modified>
</cp:coreProperties>
</file>